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343" w:rsidRPr="002F1D39" w:rsidRDefault="00BA2ADD" w:rsidP="00141BEB">
      <w:pPr>
        <w:spacing w:after="0"/>
        <w:jc w:val="center"/>
        <w:rPr>
          <w:b/>
          <w:sz w:val="24"/>
          <w:szCs w:val="24"/>
        </w:rPr>
      </w:pPr>
      <w:r w:rsidRPr="002F1D39">
        <w:rPr>
          <w:b/>
          <w:sz w:val="24"/>
          <w:szCs w:val="24"/>
        </w:rPr>
        <w:t>Strategy to</w:t>
      </w:r>
      <w:r w:rsidR="00B3686E" w:rsidRPr="002F1D39">
        <w:rPr>
          <w:b/>
          <w:sz w:val="24"/>
          <w:szCs w:val="24"/>
        </w:rPr>
        <w:t xml:space="preserve"> sustain/</w:t>
      </w:r>
      <w:r w:rsidR="0042535A" w:rsidRPr="002F1D39">
        <w:rPr>
          <w:b/>
          <w:sz w:val="24"/>
          <w:szCs w:val="24"/>
        </w:rPr>
        <w:t xml:space="preserve"> </w:t>
      </w:r>
      <w:r w:rsidR="00891FA4" w:rsidRPr="002F1D39">
        <w:rPr>
          <w:b/>
          <w:sz w:val="24"/>
          <w:szCs w:val="24"/>
        </w:rPr>
        <w:t>improve the NBDC partnership for</w:t>
      </w:r>
      <w:r w:rsidR="00520734" w:rsidRPr="002F1D39">
        <w:rPr>
          <w:b/>
          <w:sz w:val="24"/>
          <w:szCs w:val="24"/>
        </w:rPr>
        <w:t xml:space="preserve"> </w:t>
      </w:r>
      <w:r w:rsidR="00836839" w:rsidRPr="002F1D39">
        <w:rPr>
          <w:b/>
          <w:sz w:val="24"/>
          <w:szCs w:val="24"/>
        </w:rPr>
        <w:t>influe</w:t>
      </w:r>
      <w:r w:rsidR="00891FA4" w:rsidRPr="002F1D39">
        <w:rPr>
          <w:b/>
          <w:sz w:val="24"/>
          <w:szCs w:val="24"/>
        </w:rPr>
        <w:t>ncing</w:t>
      </w:r>
      <w:r w:rsidR="00692343" w:rsidRPr="002F1D39">
        <w:rPr>
          <w:b/>
          <w:sz w:val="24"/>
          <w:szCs w:val="24"/>
        </w:rPr>
        <w:t xml:space="preserve"> </w:t>
      </w:r>
      <w:r w:rsidR="00891FA4" w:rsidRPr="002F1D39">
        <w:rPr>
          <w:b/>
          <w:sz w:val="24"/>
          <w:szCs w:val="24"/>
        </w:rPr>
        <w:t xml:space="preserve">national policy and institutional change </w:t>
      </w:r>
      <w:r w:rsidR="00520734" w:rsidRPr="002F1D39">
        <w:rPr>
          <w:b/>
          <w:sz w:val="24"/>
          <w:szCs w:val="24"/>
        </w:rPr>
        <w:t>in rainwater management in Ethiopia</w:t>
      </w:r>
    </w:p>
    <w:p w:rsidR="00BA2ADD" w:rsidRPr="002F1D39" w:rsidRDefault="00BA2ADD" w:rsidP="00141BEB">
      <w:pPr>
        <w:spacing w:after="0"/>
        <w:jc w:val="center"/>
        <w:rPr>
          <w:b/>
          <w:sz w:val="24"/>
          <w:szCs w:val="24"/>
        </w:rPr>
      </w:pPr>
      <w:r w:rsidRPr="002F1D39">
        <w:rPr>
          <w:b/>
          <w:sz w:val="24"/>
          <w:szCs w:val="24"/>
        </w:rPr>
        <w:t>Draft</w:t>
      </w:r>
      <w:r w:rsidR="00D25216" w:rsidRPr="002F1D39">
        <w:rPr>
          <w:b/>
          <w:sz w:val="24"/>
          <w:szCs w:val="24"/>
        </w:rPr>
        <w:t xml:space="preserve"> </w:t>
      </w:r>
    </w:p>
    <w:p w:rsidR="00D25216" w:rsidRPr="002F1D39" w:rsidRDefault="00D25216" w:rsidP="00141BEB">
      <w:pPr>
        <w:spacing w:after="0"/>
        <w:jc w:val="center"/>
        <w:rPr>
          <w:b/>
          <w:sz w:val="24"/>
          <w:szCs w:val="24"/>
        </w:rPr>
      </w:pPr>
      <w:r w:rsidRPr="002F1D39">
        <w:rPr>
          <w:b/>
          <w:sz w:val="24"/>
          <w:szCs w:val="24"/>
        </w:rPr>
        <w:t>Belay</w:t>
      </w:r>
      <w:r w:rsidR="0042535A" w:rsidRPr="002F1D39">
        <w:rPr>
          <w:b/>
          <w:sz w:val="24"/>
          <w:szCs w:val="24"/>
        </w:rPr>
        <w:t xml:space="preserve"> </w:t>
      </w:r>
      <w:proofErr w:type="spellStart"/>
      <w:r w:rsidR="0042535A" w:rsidRPr="002F1D39">
        <w:rPr>
          <w:b/>
          <w:sz w:val="24"/>
          <w:szCs w:val="24"/>
        </w:rPr>
        <w:t>Demissie</w:t>
      </w:r>
      <w:proofErr w:type="spellEnd"/>
    </w:p>
    <w:p w:rsidR="0042535A" w:rsidRPr="002F1D39" w:rsidRDefault="0042535A" w:rsidP="00141BEB">
      <w:pPr>
        <w:spacing w:after="0"/>
        <w:jc w:val="center"/>
        <w:rPr>
          <w:b/>
          <w:sz w:val="24"/>
          <w:szCs w:val="24"/>
        </w:rPr>
      </w:pPr>
      <w:r w:rsidRPr="002F1D39">
        <w:rPr>
          <w:b/>
          <w:sz w:val="24"/>
          <w:szCs w:val="24"/>
        </w:rPr>
        <w:t>National Consultant</w:t>
      </w:r>
    </w:p>
    <w:p w:rsidR="0042535A" w:rsidRPr="002F1D39" w:rsidRDefault="0042535A" w:rsidP="00141BEB">
      <w:pPr>
        <w:spacing w:after="0"/>
        <w:jc w:val="center"/>
        <w:rPr>
          <w:b/>
          <w:sz w:val="24"/>
          <w:szCs w:val="24"/>
        </w:rPr>
      </w:pPr>
      <w:r w:rsidRPr="002F1D39">
        <w:rPr>
          <w:b/>
          <w:sz w:val="24"/>
          <w:szCs w:val="24"/>
        </w:rPr>
        <w:t>Jan 2013</w:t>
      </w:r>
    </w:p>
    <w:p w:rsidR="00836839" w:rsidRPr="002F1D39" w:rsidRDefault="00836839" w:rsidP="0097416B">
      <w:pPr>
        <w:rPr>
          <w:sz w:val="24"/>
          <w:szCs w:val="24"/>
        </w:rPr>
      </w:pPr>
    </w:p>
    <w:p w:rsidR="005D6780" w:rsidRPr="002F1D39" w:rsidRDefault="005D6780" w:rsidP="0097416B">
      <w:pPr>
        <w:rPr>
          <w:b/>
          <w:sz w:val="24"/>
          <w:szCs w:val="24"/>
        </w:rPr>
      </w:pPr>
      <w:r w:rsidRPr="002F1D39">
        <w:rPr>
          <w:b/>
          <w:sz w:val="24"/>
          <w:szCs w:val="24"/>
        </w:rPr>
        <w:t>Background</w:t>
      </w:r>
    </w:p>
    <w:p w:rsidR="00891FA4" w:rsidRPr="002F1D39" w:rsidRDefault="00891FA4" w:rsidP="00891FA4">
      <w:pPr>
        <w:rPr>
          <w:sz w:val="24"/>
          <w:szCs w:val="24"/>
        </w:rPr>
      </w:pPr>
      <w:r w:rsidRPr="002F1D39">
        <w:rPr>
          <w:sz w:val="24"/>
          <w:szCs w:val="24"/>
        </w:rPr>
        <w:t>The Nile Basin Development Challenge (Nile BDC) is funded by the CGIAR Challenge Program on Water and Food (CPWF) to improve the resilience of rural livelihoods in the Ethiopian highland</w:t>
      </w:r>
      <w:r w:rsidR="00C70DD1" w:rsidRPr="002F1D39">
        <w:rPr>
          <w:sz w:val="24"/>
          <w:szCs w:val="24"/>
        </w:rPr>
        <w:t>s</w:t>
      </w:r>
      <w:r w:rsidRPr="002F1D39">
        <w:rPr>
          <w:sz w:val="24"/>
          <w:szCs w:val="24"/>
        </w:rPr>
        <w:t xml:space="preserve"> through a Landscape (watershed) approach to rain water management. The </w:t>
      </w:r>
      <w:r w:rsidR="0098278B" w:rsidRPr="002F1D39">
        <w:rPr>
          <w:sz w:val="24"/>
          <w:szCs w:val="24"/>
        </w:rPr>
        <w:t>Program</w:t>
      </w:r>
      <w:r w:rsidR="001A596A" w:rsidRPr="002F1D39">
        <w:rPr>
          <w:sz w:val="24"/>
          <w:szCs w:val="24"/>
        </w:rPr>
        <w:t xml:space="preserve"> </w:t>
      </w:r>
      <w:r w:rsidR="00C041CB" w:rsidRPr="002F1D39">
        <w:rPr>
          <w:sz w:val="24"/>
          <w:szCs w:val="24"/>
        </w:rPr>
        <w:t xml:space="preserve">is led by the International Livestock Research Institute (ILRI) and the International Water Management Institute (IWMI) </w:t>
      </w:r>
      <w:r w:rsidRPr="002F1D39">
        <w:rPr>
          <w:sz w:val="24"/>
          <w:szCs w:val="24"/>
        </w:rPr>
        <w:t>and implemented in collaboration with vari</w:t>
      </w:r>
      <w:r w:rsidR="00C70DD1" w:rsidRPr="002F1D39">
        <w:rPr>
          <w:sz w:val="24"/>
          <w:szCs w:val="24"/>
        </w:rPr>
        <w:t>ous national research partners.</w:t>
      </w:r>
      <w:r w:rsidRPr="002F1D39">
        <w:rPr>
          <w:sz w:val="24"/>
          <w:szCs w:val="24"/>
        </w:rPr>
        <w:t xml:space="preserve"> The </w:t>
      </w:r>
      <w:r w:rsidR="0098278B" w:rsidRPr="002F1D39">
        <w:rPr>
          <w:sz w:val="24"/>
          <w:szCs w:val="24"/>
        </w:rPr>
        <w:t>Program</w:t>
      </w:r>
      <w:r w:rsidR="001A596A" w:rsidRPr="002F1D39">
        <w:rPr>
          <w:sz w:val="24"/>
          <w:szCs w:val="24"/>
        </w:rPr>
        <w:t xml:space="preserve"> </w:t>
      </w:r>
      <w:r w:rsidRPr="002F1D39">
        <w:rPr>
          <w:sz w:val="24"/>
          <w:szCs w:val="24"/>
        </w:rPr>
        <w:t>was commenced in Jan 2010 and will end by Dec 2013. The N</w:t>
      </w:r>
      <w:r w:rsidR="00C742EE" w:rsidRPr="002F1D39">
        <w:rPr>
          <w:sz w:val="24"/>
          <w:szCs w:val="24"/>
        </w:rPr>
        <w:t xml:space="preserve">ile </w:t>
      </w:r>
      <w:r w:rsidRPr="002F1D39">
        <w:rPr>
          <w:sz w:val="24"/>
          <w:szCs w:val="24"/>
        </w:rPr>
        <w:t xml:space="preserve">BDC comprises five </w:t>
      </w:r>
      <w:r w:rsidR="00C742EE" w:rsidRPr="002F1D39">
        <w:rPr>
          <w:sz w:val="24"/>
          <w:szCs w:val="24"/>
        </w:rPr>
        <w:t>inter</w:t>
      </w:r>
      <w:r w:rsidRPr="002F1D39">
        <w:rPr>
          <w:sz w:val="24"/>
          <w:szCs w:val="24"/>
        </w:rPr>
        <w:t>linked projects:</w:t>
      </w:r>
      <w:r w:rsidR="00836839" w:rsidRPr="002F1D39">
        <w:rPr>
          <w:sz w:val="24"/>
          <w:szCs w:val="24"/>
        </w:rPr>
        <w:t xml:space="preserve"> </w:t>
      </w:r>
    </w:p>
    <w:p w:rsidR="00891FA4" w:rsidRPr="002F1D39" w:rsidRDefault="00891FA4" w:rsidP="00891FA4">
      <w:pPr>
        <w:pStyle w:val="ListParagraph"/>
        <w:numPr>
          <w:ilvl w:val="0"/>
          <w:numId w:val="4"/>
        </w:numPr>
        <w:rPr>
          <w:sz w:val="24"/>
          <w:szCs w:val="24"/>
        </w:rPr>
      </w:pPr>
      <w:r w:rsidRPr="002F1D39">
        <w:rPr>
          <w:sz w:val="24"/>
          <w:szCs w:val="24"/>
        </w:rPr>
        <w:t xml:space="preserve">Learning about rainwater management </w:t>
      </w:r>
      <w:r w:rsidR="00C041CB" w:rsidRPr="002F1D39">
        <w:rPr>
          <w:sz w:val="24"/>
          <w:szCs w:val="24"/>
        </w:rPr>
        <w:t xml:space="preserve">systems. A review of </w:t>
      </w:r>
      <w:r w:rsidRPr="002F1D39">
        <w:rPr>
          <w:sz w:val="24"/>
          <w:szCs w:val="24"/>
        </w:rPr>
        <w:t xml:space="preserve">past and </w:t>
      </w:r>
      <w:proofErr w:type="spellStart"/>
      <w:r w:rsidRPr="002F1D39">
        <w:rPr>
          <w:sz w:val="24"/>
          <w:szCs w:val="24"/>
        </w:rPr>
        <w:t>ongoing</w:t>
      </w:r>
      <w:proofErr w:type="spellEnd"/>
      <w:r w:rsidRPr="002F1D39">
        <w:rPr>
          <w:sz w:val="24"/>
          <w:szCs w:val="24"/>
        </w:rPr>
        <w:t xml:space="preserve"> </w:t>
      </w:r>
      <w:r w:rsidR="00C041CB" w:rsidRPr="002F1D39">
        <w:rPr>
          <w:sz w:val="24"/>
          <w:szCs w:val="24"/>
        </w:rPr>
        <w:t>activities, an inventory of actors, and identification of best practices for dissemination and use</w:t>
      </w:r>
      <w:r w:rsidR="0098278B" w:rsidRPr="002F1D39">
        <w:rPr>
          <w:sz w:val="24"/>
          <w:szCs w:val="24"/>
        </w:rPr>
        <w:t>;</w:t>
      </w:r>
    </w:p>
    <w:p w:rsidR="00C041CB" w:rsidRPr="002F1D39" w:rsidRDefault="00C041CB" w:rsidP="00891FA4">
      <w:pPr>
        <w:pStyle w:val="ListParagraph"/>
        <w:numPr>
          <w:ilvl w:val="0"/>
          <w:numId w:val="4"/>
        </w:numPr>
        <w:rPr>
          <w:sz w:val="24"/>
          <w:szCs w:val="24"/>
        </w:rPr>
      </w:pPr>
      <w:r w:rsidRPr="002F1D39">
        <w:rPr>
          <w:sz w:val="24"/>
          <w:szCs w:val="24"/>
        </w:rPr>
        <w:t>Integrating technologies, policies and insti</w:t>
      </w:r>
      <w:r w:rsidR="00C70DD1" w:rsidRPr="002F1D39">
        <w:rPr>
          <w:sz w:val="24"/>
          <w:szCs w:val="24"/>
        </w:rPr>
        <w:t>tutions through t</w:t>
      </w:r>
      <w:r w:rsidRPr="002F1D39">
        <w:rPr>
          <w:sz w:val="24"/>
          <w:szCs w:val="24"/>
        </w:rPr>
        <w:t>he development of integrated rainwater management strategies</w:t>
      </w:r>
      <w:r w:rsidR="00C70DD1" w:rsidRPr="002F1D39">
        <w:rPr>
          <w:sz w:val="24"/>
          <w:szCs w:val="24"/>
        </w:rPr>
        <w:t xml:space="preserve"> in </w:t>
      </w:r>
      <w:r w:rsidR="00C742EE" w:rsidRPr="002F1D39">
        <w:rPr>
          <w:sz w:val="24"/>
          <w:szCs w:val="24"/>
        </w:rPr>
        <w:t xml:space="preserve">three </w:t>
      </w:r>
      <w:r w:rsidR="00C70DD1" w:rsidRPr="002F1D39">
        <w:rPr>
          <w:sz w:val="24"/>
          <w:szCs w:val="24"/>
        </w:rPr>
        <w:t>action sites</w:t>
      </w:r>
      <w:r w:rsidR="00C742EE" w:rsidRPr="002F1D39">
        <w:rPr>
          <w:sz w:val="24"/>
          <w:szCs w:val="24"/>
        </w:rPr>
        <w:t xml:space="preserve"> (</w:t>
      </w:r>
      <w:proofErr w:type="spellStart"/>
      <w:r w:rsidR="00C742EE" w:rsidRPr="002F1D39">
        <w:rPr>
          <w:sz w:val="24"/>
          <w:szCs w:val="24"/>
        </w:rPr>
        <w:t>Fogera</w:t>
      </w:r>
      <w:proofErr w:type="spellEnd"/>
      <w:r w:rsidR="00C742EE" w:rsidRPr="002F1D39">
        <w:rPr>
          <w:sz w:val="24"/>
          <w:szCs w:val="24"/>
        </w:rPr>
        <w:t xml:space="preserve">, </w:t>
      </w:r>
      <w:proofErr w:type="spellStart"/>
      <w:r w:rsidR="00C742EE" w:rsidRPr="002F1D39">
        <w:rPr>
          <w:sz w:val="24"/>
          <w:szCs w:val="24"/>
        </w:rPr>
        <w:t>Diga</w:t>
      </w:r>
      <w:proofErr w:type="spellEnd"/>
      <w:r w:rsidR="00C742EE" w:rsidRPr="002F1D39">
        <w:rPr>
          <w:sz w:val="24"/>
          <w:szCs w:val="24"/>
        </w:rPr>
        <w:t xml:space="preserve">, </w:t>
      </w:r>
      <w:proofErr w:type="spellStart"/>
      <w:r w:rsidR="00C742EE" w:rsidRPr="002F1D39">
        <w:rPr>
          <w:sz w:val="24"/>
          <w:szCs w:val="24"/>
        </w:rPr>
        <w:t>Jeldu</w:t>
      </w:r>
      <w:proofErr w:type="spellEnd"/>
      <w:r w:rsidR="00C742EE" w:rsidRPr="002F1D39">
        <w:rPr>
          <w:sz w:val="24"/>
          <w:szCs w:val="24"/>
        </w:rPr>
        <w:t xml:space="preserve">) </w:t>
      </w:r>
      <w:r w:rsidRPr="002F1D39">
        <w:rPr>
          <w:sz w:val="24"/>
          <w:szCs w:val="24"/>
        </w:rPr>
        <w:t xml:space="preserve"> to slow down land degradation and reduce downstream siltation</w:t>
      </w:r>
      <w:r w:rsidR="0098278B" w:rsidRPr="002F1D39">
        <w:rPr>
          <w:sz w:val="24"/>
          <w:szCs w:val="24"/>
        </w:rPr>
        <w:t>;</w:t>
      </w:r>
    </w:p>
    <w:p w:rsidR="00C041CB" w:rsidRPr="002F1D39" w:rsidRDefault="00C041CB" w:rsidP="00891FA4">
      <w:pPr>
        <w:pStyle w:val="ListParagraph"/>
        <w:numPr>
          <w:ilvl w:val="0"/>
          <w:numId w:val="4"/>
        </w:numPr>
        <w:rPr>
          <w:sz w:val="24"/>
          <w:szCs w:val="24"/>
        </w:rPr>
      </w:pPr>
      <w:r w:rsidRPr="002F1D39">
        <w:rPr>
          <w:sz w:val="24"/>
          <w:szCs w:val="24"/>
        </w:rPr>
        <w:t xml:space="preserve">Targeting and scaling out of rainwater management </w:t>
      </w:r>
      <w:r w:rsidR="00C70DD1" w:rsidRPr="002F1D39">
        <w:rPr>
          <w:sz w:val="24"/>
          <w:szCs w:val="24"/>
        </w:rPr>
        <w:t xml:space="preserve">systems by </w:t>
      </w:r>
      <w:r w:rsidRPr="002F1D39">
        <w:rPr>
          <w:sz w:val="24"/>
          <w:szCs w:val="24"/>
        </w:rPr>
        <w:t>‘matching’ promising technologies with particular</w:t>
      </w:r>
      <w:r w:rsidR="00C70DD1" w:rsidRPr="002F1D39">
        <w:rPr>
          <w:sz w:val="24"/>
          <w:szCs w:val="24"/>
        </w:rPr>
        <w:t xml:space="preserve"> </w:t>
      </w:r>
      <w:r w:rsidR="00C742EE" w:rsidRPr="002F1D39">
        <w:rPr>
          <w:sz w:val="24"/>
          <w:szCs w:val="24"/>
        </w:rPr>
        <w:t xml:space="preserve">(biophysical and socio-institutional) </w:t>
      </w:r>
      <w:r w:rsidRPr="002F1D39">
        <w:rPr>
          <w:sz w:val="24"/>
          <w:szCs w:val="24"/>
        </w:rPr>
        <w:t>environments</w:t>
      </w:r>
      <w:r w:rsidR="0098278B" w:rsidRPr="002F1D39">
        <w:rPr>
          <w:sz w:val="24"/>
          <w:szCs w:val="24"/>
        </w:rPr>
        <w:t>;</w:t>
      </w:r>
    </w:p>
    <w:p w:rsidR="00C742EE" w:rsidRPr="002F1D39" w:rsidRDefault="00C041CB" w:rsidP="00C742EE">
      <w:pPr>
        <w:pStyle w:val="ListParagraph"/>
        <w:numPr>
          <w:ilvl w:val="0"/>
          <w:numId w:val="4"/>
        </w:numPr>
        <w:rPr>
          <w:sz w:val="24"/>
          <w:szCs w:val="24"/>
        </w:rPr>
      </w:pPr>
      <w:r w:rsidRPr="002F1D39">
        <w:rPr>
          <w:sz w:val="24"/>
          <w:szCs w:val="24"/>
        </w:rPr>
        <w:t>Assessing and anticipating the consequences of innovation in rain water management systems</w:t>
      </w:r>
      <w:r w:rsidR="00C70DD1" w:rsidRPr="002F1D39">
        <w:rPr>
          <w:sz w:val="24"/>
          <w:szCs w:val="24"/>
        </w:rPr>
        <w:t xml:space="preserve"> at the basin level</w:t>
      </w:r>
      <w:r w:rsidR="0098278B" w:rsidRPr="002F1D39">
        <w:rPr>
          <w:sz w:val="24"/>
          <w:szCs w:val="24"/>
        </w:rPr>
        <w:t>;</w:t>
      </w:r>
      <w:r w:rsidR="00AE4F04" w:rsidRPr="002F1D39">
        <w:rPr>
          <w:sz w:val="24"/>
          <w:szCs w:val="24"/>
        </w:rPr>
        <w:t xml:space="preserve"> and</w:t>
      </w:r>
    </w:p>
    <w:p w:rsidR="00F114C1" w:rsidRPr="002F1D39" w:rsidRDefault="00C742EE" w:rsidP="00F114C1">
      <w:pPr>
        <w:pStyle w:val="ListParagraph"/>
        <w:numPr>
          <w:ilvl w:val="0"/>
          <w:numId w:val="4"/>
        </w:numPr>
        <w:rPr>
          <w:sz w:val="24"/>
          <w:szCs w:val="24"/>
        </w:rPr>
      </w:pPr>
      <w:r w:rsidRPr="002F1D39">
        <w:rPr>
          <w:sz w:val="24"/>
          <w:szCs w:val="24"/>
        </w:rPr>
        <w:t>Coordination &amp; Change, which includes M&amp;E</w:t>
      </w:r>
      <w:r w:rsidR="006878AB" w:rsidRPr="002F1D39">
        <w:rPr>
          <w:sz w:val="24"/>
          <w:szCs w:val="24"/>
        </w:rPr>
        <w:t xml:space="preserve"> and gender</w:t>
      </w:r>
      <w:r w:rsidRPr="002F1D39">
        <w:rPr>
          <w:sz w:val="24"/>
          <w:szCs w:val="24"/>
        </w:rPr>
        <w:t xml:space="preserve">, fostering innovation at basin level, and communication. </w:t>
      </w:r>
    </w:p>
    <w:p w:rsidR="00F114C1" w:rsidRPr="002F1D39" w:rsidRDefault="00F114C1" w:rsidP="00F114C1">
      <w:pPr>
        <w:rPr>
          <w:rFonts w:eastAsia="Times New Roman"/>
          <w:sz w:val="24"/>
          <w:szCs w:val="24"/>
        </w:rPr>
      </w:pPr>
      <w:r w:rsidRPr="002F1D39">
        <w:rPr>
          <w:rFonts w:eastAsia="Times New Roman"/>
          <w:sz w:val="24"/>
          <w:szCs w:val="24"/>
        </w:rPr>
        <w:t>As part of project</w:t>
      </w:r>
      <w:r w:rsidR="00D96A3E" w:rsidRPr="002F1D39">
        <w:rPr>
          <w:rFonts w:eastAsia="Times New Roman"/>
          <w:sz w:val="24"/>
          <w:szCs w:val="24"/>
        </w:rPr>
        <w:t xml:space="preserve"> (5)</w:t>
      </w:r>
      <w:r w:rsidRPr="002F1D39">
        <w:rPr>
          <w:rFonts w:eastAsia="Times New Roman"/>
          <w:sz w:val="24"/>
          <w:szCs w:val="24"/>
        </w:rPr>
        <w:t xml:space="preserve">, the Nile </w:t>
      </w:r>
      <w:r w:rsidR="007D0C3E" w:rsidRPr="002F1D39">
        <w:rPr>
          <w:rFonts w:eastAsia="Times New Roman"/>
          <w:sz w:val="24"/>
          <w:szCs w:val="24"/>
        </w:rPr>
        <w:t>BDC established a National P</w:t>
      </w:r>
      <w:r w:rsidRPr="002F1D39">
        <w:rPr>
          <w:rFonts w:eastAsia="Times New Roman"/>
          <w:sz w:val="24"/>
          <w:szCs w:val="24"/>
        </w:rPr>
        <w:t>latform on land and water management in Ethiopia in April 2011</w:t>
      </w:r>
      <w:r w:rsidR="00176B26" w:rsidRPr="00176B26">
        <w:rPr>
          <w:rFonts w:eastAsia="Times New Roman"/>
          <w:sz w:val="24"/>
          <w:szCs w:val="24"/>
        </w:rPr>
        <w:t xml:space="preserve"> </w:t>
      </w:r>
      <w:r w:rsidR="00176B26">
        <w:rPr>
          <w:rFonts w:eastAsia="Times New Roman"/>
          <w:sz w:val="24"/>
          <w:szCs w:val="24"/>
        </w:rPr>
        <w:t>together with key players from different type of organizations</w:t>
      </w:r>
      <w:r w:rsidRPr="002F1D39">
        <w:rPr>
          <w:rFonts w:eastAsia="Times New Roman"/>
          <w:sz w:val="24"/>
          <w:szCs w:val="24"/>
        </w:rPr>
        <w:t xml:space="preserve">. </w:t>
      </w:r>
      <w:r w:rsidR="00BA2ADD" w:rsidRPr="002F1D39">
        <w:rPr>
          <w:rFonts w:eastAsia="Times New Roman"/>
          <w:sz w:val="24"/>
          <w:szCs w:val="24"/>
        </w:rPr>
        <w:t xml:space="preserve">The participants were representative from </w:t>
      </w:r>
      <w:r w:rsidRPr="002F1D39">
        <w:rPr>
          <w:rFonts w:eastAsia="Times New Roman"/>
          <w:sz w:val="24"/>
          <w:szCs w:val="24"/>
        </w:rPr>
        <w:t>politics, government, research, NGO/CBOs, private sectors, donor</w:t>
      </w:r>
      <w:r w:rsidR="007D0C3E" w:rsidRPr="002F1D39">
        <w:rPr>
          <w:rFonts w:eastAsia="Times New Roman"/>
          <w:sz w:val="24"/>
          <w:szCs w:val="24"/>
        </w:rPr>
        <w:t>s, etc. The establishment of a National P</w:t>
      </w:r>
      <w:r w:rsidRPr="002F1D39">
        <w:rPr>
          <w:rFonts w:eastAsia="Times New Roman"/>
          <w:sz w:val="24"/>
          <w:szCs w:val="24"/>
        </w:rPr>
        <w:t xml:space="preserve">latform was widely supported, not the least by the Ministry of Agriculture. </w:t>
      </w:r>
      <w:r w:rsidR="00BA2ADD" w:rsidRPr="002F1D39">
        <w:rPr>
          <w:sz w:val="24"/>
          <w:szCs w:val="24"/>
        </w:rPr>
        <w:t>So far the national platform has met three times.</w:t>
      </w:r>
      <w:r w:rsidR="00007267" w:rsidRPr="002F1D39">
        <w:rPr>
          <w:rFonts w:eastAsia="Times New Roman"/>
          <w:sz w:val="24"/>
          <w:szCs w:val="24"/>
        </w:rPr>
        <w:t xml:space="preserve"> </w:t>
      </w:r>
      <w:r w:rsidR="006878AB" w:rsidRPr="002F1D39">
        <w:rPr>
          <w:rFonts w:eastAsia="Times New Roman"/>
          <w:sz w:val="24"/>
          <w:szCs w:val="24"/>
        </w:rPr>
        <w:t xml:space="preserve">The </w:t>
      </w:r>
      <w:r w:rsidRPr="002F1D39">
        <w:rPr>
          <w:rFonts w:eastAsia="Times New Roman"/>
          <w:sz w:val="24"/>
          <w:szCs w:val="24"/>
        </w:rPr>
        <w:t xml:space="preserve">national platform can become a mechanism to enhance communication between actors and across sectors for improved land and water management in the Nile Basin </w:t>
      </w:r>
      <w:r w:rsidR="006878AB" w:rsidRPr="002F1D39">
        <w:rPr>
          <w:rFonts w:eastAsia="Times New Roman"/>
          <w:sz w:val="24"/>
          <w:szCs w:val="24"/>
        </w:rPr>
        <w:t>and</w:t>
      </w:r>
      <w:r w:rsidRPr="002F1D39">
        <w:rPr>
          <w:rFonts w:eastAsia="Times New Roman"/>
          <w:sz w:val="24"/>
          <w:szCs w:val="24"/>
        </w:rPr>
        <w:t xml:space="preserve"> beyond.</w:t>
      </w:r>
    </w:p>
    <w:p w:rsidR="00EC6454" w:rsidRPr="00EC6454" w:rsidRDefault="00EC6454" w:rsidP="00EC6454">
      <w:pPr>
        <w:spacing w:after="0" w:line="240" w:lineRule="auto"/>
        <w:rPr>
          <w:rFonts w:eastAsia="Times New Roman" w:cs="Arial"/>
          <w:b/>
          <w:sz w:val="24"/>
          <w:szCs w:val="24"/>
          <w:lang w:val="en-US" w:eastAsia="en-US"/>
        </w:rPr>
      </w:pPr>
      <w:r w:rsidRPr="00EC6454">
        <w:rPr>
          <w:rFonts w:eastAsia="Times New Roman" w:cs="Arial"/>
          <w:b/>
          <w:sz w:val="24"/>
          <w:szCs w:val="24"/>
          <w:lang w:val="en-US" w:eastAsia="en-US"/>
        </w:rPr>
        <w:t>Vision and objective of the platform</w:t>
      </w:r>
    </w:p>
    <w:p w:rsidR="00EC6454" w:rsidRPr="00EC6454" w:rsidRDefault="00EC6454" w:rsidP="00EC6454">
      <w:pPr>
        <w:spacing w:after="0" w:line="240" w:lineRule="auto"/>
        <w:rPr>
          <w:rFonts w:eastAsia="Times New Roman" w:cs="Arial"/>
          <w:b/>
          <w:sz w:val="24"/>
          <w:szCs w:val="24"/>
          <w:lang w:val="en-US" w:eastAsia="en-US"/>
        </w:rPr>
      </w:pPr>
    </w:p>
    <w:p w:rsidR="00EC6454" w:rsidRPr="00EC6454" w:rsidRDefault="00EC6454" w:rsidP="00EC6454">
      <w:p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 xml:space="preserve">The platform intends to create a proactive hub, whereby key players from governmental institutions, NGOs, donors and civil societies develop a collective spirit and action and facilitate a national movement on land, water, and NR management. </w:t>
      </w:r>
    </w:p>
    <w:p w:rsidR="00EC6454" w:rsidRPr="00EC6454" w:rsidRDefault="00EC6454" w:rsidP="00EC6454">
      <w:pPr>
        <w:spacing w:after="0" w:line="240" w:lineRule="auto"/>
        <w:rPr>
          <w:rFonts w:eastAsia="Times New Roman" w:cs="Arial"/>
          <w:sz w:val="24"/>
          <w:szCs w:val="24"/>
          <w:lang w:val="en-US" w:eastAsia="en-US"/>
        </w:rPr>
      </w:pPr>
    </w:p>
    <w:p w:rsidR="00EC6454" w:rsidRPr="00EC6454" w:rsidRDefault="00EC6454" w:rsidP="00EC6454">
      <w:pPr>
        <w:spacing w:after="0" w:line="240" w:lineRule="auto"/>
        <w:rPr>
          <w:rFonts w:eastAsia="Times New Roman" w:cs="Arial"/>
          <w:sz w:val="24"/>
          <w:szCs w:val="24"/>
          <w:lang w:val="en-US" w:eastAsia="en-US"/>
        </w:rPr>
      </w:pPr>
      <w:r w:rsidRPr="002F1D39">
        <w:rPr>
          <w:rFonts w:eastAsia="Times New Roman" w:cs="Arial"/>
          <w:sz w:val="24"/>
          <w:szCs w:val="24"/>
          <w:lang w:val="en-US" w:eastAsia="en-US"/>
        </w:rPr>
        <w:t>The</w:t>
      </w:r>
      <w:r w:rsidRPr="00EC6454">
        <w:rPr>
          <w:rFonts w:eastAsia="Times New Roman" w:cs="Arial"/>
          <w:sz w:val="24"/>
          <w:szCs w:val="24"/>
          <w:lang w:val="en-US" w:eastAsia="en-US"/>
        </w:rPr>
        <w:t xml:space="preserve"> </w:t>
      </w:r>
      <w:r w:rsidRPr="00EC6454">
        <w:rPr>
          <w:rFonts w:eastAsia="Times New Roman" w:cs="Arial"/>
          <w:b/>
          <w:sz w:val="24"/>
          <w:szCs w:val="24"/>
          <w:lang w:val="en-US" w:eastAsia="en-US"/>
        </w:rPr>
        <w:t>vision</w:t>
      </w:r>
      <w:r w:rsidRPr="002F1D39">
        <w:rPr>
          <w:rFonts w:eastAsia="Times New Roman" w:cs="Arial"/>
          <w:sz w:val="24"/>
          <w:szCs w:val="24"/>
          <w:lang w:val="en-US" w:eastAsia="en-US"/>
        </w:rPr>
        <w:t xml:space="preserve"> of the platform is:</w:t>
      </w:r>
    </w:p>
    <w:p w:rsidR="00EC6454" w:rsidRPr="00EC6454" w:rsidRDefault="00EC6454" w:rsidP="00EC6454">
      <w:pPr>
        <w:spacing w:after="0" w:line="240" w:lineRule="auto"/>
        <w:rPr>
          <w:rFonts w:eastAsia="Times New Roman" w:cs="Arial"/>
          <w:sz w:val="24"/>
          <w:szCs w:val="24"/>
          <w:lang w:val="en-US" w:eastAsia="en-US"/>
        </w:rPr>
      </w:pPr>
    </w:p>
    <w:p w:rsidR="00EC6454" w:rsidRPr="00EC6454" w:rsidRDefault="00EC6454" w:rsidP="00EC6454">
      <w:pPr>
        <w:spacing w:after="0" w:line="240" w:lineRule="auto"/>
        <w:rPr>
          <w:rFonts w:eastAsia="Times New Roman" w:cs="Arial"/>
          <w:b/>
          <w:i/>
          <w:sz w:val="24"/>
          <w:szCs w:val="24"/>
          <w:lang w:val="en-US" w:eastAsia="en-US"/>
        </w:rPr>
      </w:pPr>
      <w:r w:rsidRPr="00EC6454">
        <w:rPr>
          <w:rFonts w:eastAsia="Times New Roman" w:cs="Arial"/>
          <w:i/>
          <w:sz w:val="24"/>
          <w:szCs w:val="24"/>
          <w:lang w:val="en-US" w:eastAsia="en-US"/>
        </w:rPr>
        <w:t>“Ensure a healthy, sustainable, and equitable use and management of natural resources for improved productivity, livelihoods and ecosystem services in Ethiopia”</w:t>
      </w:r>
    </w:p>
    <w:p w:rsidR="00EC6454" w:rsidRPr="00EC6454" w:rsidRDefault="00EC6454" w:rsidP="00EC6454">
      <w:pPr>
        <w:spacing w:after="0" w:line="240" w:lineRule="auto"/>
        <w:rPr>
          <w:rFonts w:eastAsia="Times New Roman" w:cs="Arial"/>
          <w:b/>
          <w:sz w:val="24"/>
          <w:szCs w:val="24"/>
          <w:lang w:val="en-US" w:eastAsia="en-US"/>
        </w:rPr>
      </w:pPr>
    </w:p>
    <w:p w:rsidR="00EC6454" w:rsidRPr="00EC6454" w:rsidRDefault="00EC6454" w:rsidP="00EC6454">
      <w:p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 xml:space="preserve">The </w:t>
      </w:r>
      <w:r w:rsidRPr="00EC6454">
        <w:rPr>
          <w:rFonts w:eastAsia="Times New Roman" w:cs="Arial"/>
          <w:b/>
          <w:sz w:val="24"/>
          <w:szCs w:val="24"/>
          <w:lang w:val="en-US" w:eastAsia="en-US"/>
        </w:rPr>
        <w:t>objectives</w:t>
      </w:r>
      <w:r w:rsidRPr="002F1D39">
        <w:rPr>
          <w:rFonts w:eastAsia="Times New Roman" w:cs="Arial"/>
          <w:sz w:val="24"/>
          <w:szCs w:val="24"/>
          <w:lang w:val="en-US" w:eastAsia="en-US"/>
        </w:rPr>
        <w:t xml:space="preserve"> of the platform are</w:t>
      </w:r>
      <w:r w:rsidRPr="00EC6454">
        <w:rPr>
          <w:rFonts w:eastAsia="Times New Roman" w:cs="Arial"/>
          <w:sz w:val="24"/>
          <w:szCs w:val="24"/>
          <w:lang w:val="en-US" w:eastAsia="en-US"/>
        </w:rPr>
        <w:t>:</w:t>
      </w:r>
    </w:p>
    <w:p w:rsidR="00EC6454" w:rsidRPr="00EC6454" w:rsidRDefault="00EC6454" w:rsidP="00EC6454">
      <w:pPr>
        <w:numPr>
          <w:ilvl w:val="0"/>
          <w:numId w:val="12"/>
        </w:num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Improve sector integration, communication and cross-institutional learning</w:t>
      </w:r>
    </w:p>
    <w:p w:rsidR="00EC6454" w:rsidRPr="00EC6454" w:rsidRDefault="00EC6454" w:rsidP="00EC6454">
      <w:pPr>
        <w:numPr>
          <w:ilvl w:val="0"/>
          <w:numId w:val="12"/>
        </w:num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Create optimal conditions for (demand driven) capacity in research, development, academia and policy development</w:t>
      </w:r>
    </w:p>
    <w:p w:rsidR="00EC6454" w:rsidRPr="00EC6454" w:rsidRDefault="00EC6454" w:rsidP="00EC6454">
      <w:pPr>
        <w:numPr>
          <w:ilvl w:val="0"/>
          <w:numId w:val="12"/>
        </w:num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To improve access to knowledge and resources</w:t>
      </w:r>
    </w:p>
    <w:p w:rsidR="00EC6454" w:rsidRPr="00EC6454" w:rsidRDefault="00EC6454" w:rsidP="00EC6454">
      <w:pPr>
        <w:numPr>
          <w:ilvl w:val="0"/>
          <w:numId w:val="12"/>
        </w:num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Provide an enabling environment for sustainable and equitable value-added production systems and functional market links</w:t>
      </w:r>
    </w:p>
    <w:p w:rsidR="00176B26" w:rsidRDefault="00176B26" w:rsidP="00FC5815">
      <w:pPr>
        <w:spacing w:after="0"/>
        <w:rPr>
          <w:rFonts w:eastAsia="Times New Roman"/>
          <w:sz w:val="24"/>
          <w:szCs w:val="24"/>
        </w:rPr>
      </w:pPr>
    </w:p>
    <w:p w:rsidR="00176B26" w:rsidRPr="002F1D39" w:rsidRDefault="00176B26" w:rsidP="00F114C1">
      <w:pPr>
        <w:rPr>
          <w:rFonts w:eastAsia="Times New Roman"/>
          <w:sz w:val="24"/>
          <w:szCs w:val="24"/>
        </w:rPr>
      </w:pPr>
      <w:r>
        <w:rPr>
          <w:rFonts w:eastAsia="Times New Roman"/>
          <w:sz w:val="24"/>
          <w:szCs w:val="24"/>
        </w:rPr>
        <w:t>A Steering Committee has been put in place to overview the overall agenda and functioning of the platform</w:t>
      </w:r>
      <w:r w:rsidR="004265C4">
        <w:rPr>
          <w:rFonts w:eastAsia="Times New Roman"/>
          <w:sz w:val="24"/>
          <w:szCs w:val="24"/>
        </w:rPr>
        <w:t xml:space="preserve">; the platform is supported by </w:t>
      </w:r>
      <w:r w:rsidR="00FC5815">
        <w:rPr>
          <w:rFonts w:eastAsia="Times New Roman"/>
          <w:sz w:val="24"/>
          <w:szCs w:val="24"/>
        </w:rPr>
        <w:t xml:space="preserve">a </w:t>
      </w:r>
      <w:r w:rsidR="004265C4">
        <w:rPr>
          <w:rFonts w:eastAsia="Times New Roman"/>
          <w:sz w:val="24"/>
          <w:szCs w:val="24"/>
        </w:rPr>
        <w:t xml:space="preserve">secretariat, currently held by the NBDC. </w:t>
      </w:r>
    </w:p>
    <w:p w:rsidR="00F114C1" w:rsidRPr="002F1D39" w:rsidRDefault="00F114C1" w:rsidP="00F114C1">
      <w:pPr>
        <w:rPr>
          <w:sz w:val="24"/>
          <w:szCs w:val="24"/>
        </w:rPr>
      </w:pPr>
      <w:r w:rsidRPr="002F1D39">
        <w:rPr>
          <w:sz w:val="24"/>
          <w:szCs w:val="24"/>
        </w:rPr>
        <w:t xml:space="preserve">To structure the discussions at the national level ‘Thematic Working Groups </w:t>
      </w:r>
      <w:r w:rsidR="006878AB" w:rsidRPr="002F1D39">
        <w:rPr>
          <w:sz w:val="24"/>
          <w:szCs w:val="24"/>
        </w:rPr>
        <w:t>(TWGs)’ have been established around</w:t>
      </w:r>
      <w:r w:rsidRPr="002F1D39">
        <w:rPr>
          <w:sz w:val="24"/>
          <w:szCs w:val="24"/>
        </w:rPr>
        <w:t xml:space="preserve"> technological innovation, institutional innovation, policy support, and climate change and resilience. These </w:t>
      </w:r>
      <w:r w:rsidR="007D0C3E" w:rsidRPr="002F1D39">
        <w:rPr>
          <w:sz w:val="24"/>
          <w:szCs w:val="24"/>
        </w:rPr>
        <w:t xml:space="preserve">communities of practice </w:t>
      </w:r>
      <w:r w:rsidRPr="002F1D39">
        <w:rPr>
          <w:sz w:val="24"/>
          <w:szCs w:val="24"/>
        </w:rPr>
        <w:t>are expected to</w:t>
      </w:r>
      <w:r w:rsidR="006878AB" w:rsidRPr="002F1D39">
        <w:rPr>
          <w:sz w:val="24"/>
          <w:szCs w:val="24"/>
        </w:rPr>
        <w:t xml:space="preserve"> identify best practices and </w:t>
      </w:r>
      <w:r w:rsidRPr="002F1D39">
        <w:rPr>
          <w:sz w:val="24"/>
          <w:szCs w:val="24"/>
        </w:rPr>
        <w:t>constraints for scaling up</w:t>
      </w:r>
      <w:r w:rsidR="007D0C3E" w:rsidRPr="002F1D39">
        <w:rPr>
          <w:sz w:val="24"/>
          <w:szCs w:val="24"/>
        </w:rPr>
        <w:t xml:space="preserve"> through so-called learning events</w:t>
      </w:r>
      <w:r w:rsidRPr="002F1D39">
        <w:rPr>
          <w:sz w:val="24"/>
          <w:szCs w:val="24"/>
        </w:rPr>
        <w:t xml:space="preserve">. In the last year of operation, the Nile BDC would like </w:t>
      </w:r>
      <w:r w:rsidR="006878AB" w:rsidRPr="002F1D39">
        <w:rPr>
          <w:sz w:val="24"/>
          <w:szCs w:val="24"/>
        </w:rPr>
        <w:t>to</w:t>
      </w:r>
      <w:r w:rsidRPr="002F1D39">
        <w:rPr>
          <w:sz w:val="24"/>
          <w:szCs w:val="24"/>
        </w:rPr>
        <w:t xml:space="preserve"> capitalize on the lessons learned in the various </w:t>
      </w:r>
      <w:r w:rsidR="007D0C3E" w:rsidRPr="002F1D39">
        <w:rPr>
          <w:sz w:val="24"/>
          <w:szCs w:val="24"/>
        </w:rPr>
        <w:t xml:space="preserve">Nile BDC </w:t>
      </w:r>
      <w:r w:rsidRPr="002F1D39">
        <w:rPr>
          <w:sz w:val="24"/>
          <w:szCs w:val="24"/>
        </w:rPr>
        <w:t xml:space="preserve">projects and </w:t>
      </w:r>
      <w:r w:rsidR="007D0C3E" w:rsidRPr="002F1D39">
        <w:rPr>
          <w:sz w:val="24"/>
          <w:szCs w:val="24"/>
        </w:rPr>
        <w:t>make use of the National P</w:t>
      </w:r>
      <w:r w:rsidR="006878AB" w:rsidRPr="002F1D39">
        <w:rPr>
          <w:sz w:val="24"/>
          <w:szCs w:val="24"/>
        </w:rPr>
        <w:t xml:space="preserve">latform </w:t>
      </w:r>
      <w:r w:rsidR="00080B7D" w:rsidRPr="002F1D39">
        <w:rPr>
          <w:sz w:val="24"/>
          <w:szCs w:val="24"/>
        </w:rPr>
        <w:t xml:space="preserve">and the thematic working groups </w:t>
      </w:r>
      <w:r w:rsidRPr="002F1D39">
        <w:rPr>
          <w:sz w:val="24"/>
          <w:szCs w:val="24"/>
        </w:rPr>
        <w:t>for influencing n</w:t>
      </w:r>
      <w:r w:rsidR="006878AB" w:rsidRPr="002F1D39">
        <w:rPr>
          <w:sz w:val="24"/>
          <w:szCs w:val="24"/>
        </w:rPr>
        <w:t>ational policy and institutions.</w:t>
      </w:r>
      <w:r w:rsidRPr="002F1D39">
        <w:rPr>
          <w:sz w:val="24"/>
          <w:szCs w:val="24"/>
        </w:rPr>
        <w:t xml:space="preserve"> </w:t>
      </w:r>
    </w:p>
    <w:p w:rsidR="00007267" w:rsidRPr="002F1D39" w:rsidRDefault="00A9101A" w:rsidP="00F114C1">
      <w:pPr>
        <w:rPr>
          <w:b/>
          <w:sz w:val="24"/>
          <w:szCs w:val="24"/>
        </w:rPr>
      </w:pPr>
      <w:r w:rsidRPr="002F1D39">
        <w:rPr>
          <w:b/>
          <w:sz w:val="24"/>
          <w:szCs w:val="24"/>
        </w:rPr>
        <w:t xml:space="preserve">CGIAR system </w:t>
      </w:r>
      <w:r w:rsidRPr="002F1D39">
        <w:rPr>
          <w:rFonts w:ascii="Calibri" w:eastAsia="Calibri" w:hAnsi="Calibri" w:cs="Times New Roman"/>
          <w:b/>
          <w:sz w:val="24"/>
          <w:szCs w:val="24"/>
          <w:lang w:val="en-US" w:eastAsia="en-US"/>
        </w:rPr>
        <w:t xml:space="preserve">aligning </w:t>
      </w:r>
      <w:r w:rsidR="00F722B8" w:rsidRPr="002F1D39">
        <w:rPr>
          <w:b/>
          <w:sz w:val="24"/>
          <w:szCs w:val="24"/>
        </w:rPr>
        <w:t xml:space="preserve">with </w:t>
      </w:r>
      <w:r w:rsidR="002F1D39">
        <w:rPr>
          <w:b/>
          <w:sz w:val="24"/>
          <w:szCs w:val="24"/>
        </w:rPr>
        <w:t>n</w:t>
      </w:r>
      <w:r w:rsidR="002F1D39" w:rsidRPr="002F1D39">
        <w:rPr>
          <w:b/>
          <w:sz w:val="24"/>
          <w:szCs w:val="24"/>
        </w:rPr>
        <w:t>ational initiatives</w:t>
      </w:r>
      <w:r w:rsidR="00007267" w:rsidRPr="002F1D39">
        <w:rPr>
          <w:b/>
          <w:sz w:val="24"/>
          <w:szCs w:val="24"/>
        </w:rPr>
        <w:t>:</w:t>
      </w:r>
    </w:p>
    <w:p w:rsidR="002E55C6" w:rsidRPr="002E55C6" w:rsidRDefault="00A9101A" w:rsidP="002E55C6">
      <w:pPr>
        <w:rPr>
          <w:sz w:val="24"/>
          <w:szCs w:val="24"/>
        </w:rPr>
      </w:pPr>
      <w:r w:rsidRPr="002F1D39">
        <w:rPr>
          <w:sz w:val="24"/>
          <w:szCs w:val="24"/>
        </w:rPr>
        <w:t xml:space="preserve">Research institutions are expected to contribute for the growth and transformation agenda of countries through conducting scientific </w:t>
      </w:r>
      <w:r w:rsidR="005C3F2E" w:rsidRPr="002F1D39">
        <w:rPr>
          <w:sz w:val="24"/>
          <w:szCs w:val="24"/>
        </w:rPr>
        <w:t xml:space="preserve">research. </w:t>
      </w:r>
      <w:r w:rsidRPr="002F1D39">
        <w:rPr>
          <w:sz w:val="24"/>
          <w:szCs w:val="24"/>
        </w:rPr>
        <w:t xml:space="preserve">Research </w:t>
      </w:r>
      <w:r w:rsidR="005C3F2E" w:rsidRPr="002F1D39">
        <w:rPr>
          <w:sz w:val="24"/>
          <w:szCs w:val="24"/>
        </w:rPr>
        <w:t>results and recommendations which are problem solving types were well utilized if there is a n</w:t>
      </w:r>
      <w:r w:rsidR="006F08E3" w:rsidRPr="002F1D39">
        <w:rPr>
          <w:sz w:val="24"/>
          <w:szCs w:val="24"/>
        </w:rPr>
        <w:t xml:space="preserve">ational system of alignment, </w:t>
      </w:r>
      <w:r w:rsidR="005C3F2E" w:rsidRPr="002F1D39">
        <w:rPr>
          <w:sz w:val="24"/>
          <w:szCs w:val="24"/>
        </w:rPr>
        <w:t>coordination</w:t>
      </w:r>
      <w:r w:rsidR="006F08E3" w:rsidRPr="002F1D39">
        <w:rPr>
          <w:sz w:val="24"/>
          <w:szCs w:val="24"/>
        </w:rPr>
        <w:t>, and uptake mechanisms. The G8 country</w:t>
      </w:r>
      <w:r w:rsidR="005C3F2E" w:rsidRPr="002F1D39">
        <w:rPr>
          <w:sz w:val="24"/>
          <w:szCs w:val="24"/>
        </w:rPr>
        <w:t xml:space="preserve"> leaders </w:t>
      </w:r>
      <w:r w:rsidR="006F08E3" w:rsidRPr="002F1D39">
        <w:rPr>
          <w:sz w:val="24"/>
          <w:szCs w:val="24"/>
        </w:rPr>
        <w:t xml:space="preserve">in their </w:t>
      </w:r>
      <w:r w:rsidR="002E0767" w:rsidRPr="002F1D39">
        <w:rPr>
          <w:sz w:val="24"/>
          <w:szCs w:val="24"/>
        </w:rPr>
        <w:t>L’Aquila</w:t>
      </w:r>
      <w:r w:rsidR="006F08E3" w:rsidRPr="002F1D39">
        <w:rPr>
          <w:sz w:val="24"/>
          <w:szCs w:val="24"/>
        </w:rPr>
        <w:t xml:space="preserve"> meeting agreed to support programs that </w:t>
      </w:r>
      <w:r w:rsidR="005C3F2E" w:rsidRPr="002F1D39">
        <w:rPr>
          <w:sz w:val="24"/>
          <w:szCs w:val="24"/>
        </w:rPr>
        <w:t>are</w:t>
      </w:r>
      <w:r w:rsidR="006F08E3" w:rsidRPr="002F1D39">
        <w:rPr>
          <w:sz w:val="24"/>
          <w:szCs w:val="24"/>
        </w:rPr>
        <w:t xml:space="preserve"> country owned</w:t>
      </w:r>
      <w:r w:rsidR="009549E7" w:rsidRPr="002F1D39">
        <w:rPr>
          <w:sz w:val="24"/>
          <w:szCs w:val="24"/>
        </w:rPr>
        <w:t>, and coordinated to bring about economic growth.</w:t>
      </w:r>
      <w:r w:rsidR="005C3F2E" w:rsidRPr="002F1D39">
        <w:rPr>
          <w:sz w:val="24"/>
          <w:szCs w:val="24"/>
        </w:rPr>
        <w:t xml:space="preserve"> </w:t>
      </w:r>
      <w:r w:rsidR="0036148E" w:rsidRPr="002F1D39">
        <w:rPr>
          <w:sz w:val="24"/>
          <w:szCs w:val="24"/>
        </w:rPr>
        <w:t>CAADP is an African wide initiative that prioritizes areas of agricultural investment and shows the financial commitment of a given country.</w:t>
      </w:r>
      <w:r w:rsidR="002E55C6" w:rsidRPr="002E55C6">
        <w:rPr>
          <w:rFonts w:ascii="Times New Roman" w:eastAsia="Times New Roman" w:hAnsi="Times New Roman" w:cs="Times New Roman"/>
          <w:sz w:val="24"/>
          <w:szCs w:val="24"/>
          <w:lang w:val="en-US" w:eastAsia="en-US"/>
        </w:rPr>
        <w:t xml:space="preserve"> The overall goal of CAADP is to “</w:t>
      </w:r>
      <w:r w:rsidR="002E55C6" w:rsidRPr="002E55C6">
        <w:rPr>
          <w:rFonts w:ascii="Times New Roman" w:eastAsia="Times New Roman" w:hAnsi="Times New Roman" w:cs="Times New Roman"/>
          <w:i/>
          <w:iCs/>
          <w:sz w:val="24"/>
          <w:szCs w:val="24"/>
          <w:lang w:val="en-US" w:eastAsia="en-US"/>
        </w:rPr>
        <w:t>Help African countries reach a higher path of economic growth through agriculturally-led development, which eliminates hunger, reduces poverty and food insecurity, and enables expansion of exports.”</w:t>
      </w:r>
      <w:r w:rsidR="002E55C6" w:rsidRPr="002E55C6">
        <w:rPr>
          <w:rFonts w:ascii="Times New Roman" w:eastAsia="Times New Roman" w:hAnsi="Times New Roman" w:cs="Times New Roman"/>
          <w:sz w:val="24"/>
          <w:szCs w:val="24"/>
          <w:lang w:val="en-US" w:eastAsia="en-US"/>
        </w:rPr>
        <w:t xml:space="preserve">  It is a growth-oriented agriculture agenda, aimed at increasing agriculture growth rates to six percent per year to create the wealth needed for rural communities and households in </w:t>
      </w:r>
      <w:r w:rsidR="002E55C6" w:rsidRPr="002E55C6">
        <w:rPr>
          <w:rFonts w:ascii="Times New Roman" w:eastAsia="Times New Roman" w:hAnsi="Times New Roman" w:cs="Times New Roman"/>
          <w:sz w:val="24"/>
          <w:szCs w:val="24"/>
          <w:lang w:val="en-US" w:eastAsia="en-US"/>
        </w:rPr>
        <w:lastRenderedPageBreak/>
        <w:t>Africa to prosper.  To achieve this goal, CAADP focuses its efforts around four key pillars of intervention:</w:t>
      </w:r>
    </w:p>
    <w:p w:rsidR="002E55C6" w:rsidRPr="002E55C6" w:rsidRDefault="002E55C6" w:rsidP="002E55C6">
      <w:pPr>
        <w:spacing w:after="0" w:line="240" w:lineRule="auto"/>
        <w:ind w:left="360"/>
        <w:rPr>
          <w:rFonts w:ascii="Times New Roman" w:eastAsia="Times New Roman" w:hAnsi="Times New Roman" w:cs="Arial"/>
          <w:sz w:val="24"/>
          <w:szCs w:val="24"/>
          <w:lang w:val="en-US" w:eastAsia="en-US"/>
        </w:rPr>
      </w:pPr>
    </w:p>
    <w:p w:rsidR="002E55C6" w:rsidRPr="002E55C6" w:rsidRDefault="002E55C6" w:rsidP="002E55C6">
      <w:pPr>
        <w:numPr>
          <w:ilvl w:val="0"/>
          <w:numId w:val="14"/>
        </w:numPr>
        <w:tabs>
          <w:tab w:val="num" w:pos="720"/>
        </w:tabs>
        <w:spacing w:after="0" w:line="240" w:lineRule="auto"/>
        <w:rPr>
          <w:rFonts w:ascii="Times New Roman" w:eastAsia="Times New Roman" w:hAnsi="Times New Roman" w:cs="Arial"/>
          <w:sz w:val="24"/>
          <w:szCs w:val="24"/>
          <w:lang w:val="en-US" w:eastAsia="en-US"/>
        </w:rPr>
      </w:pPr>
      <w:r w:rsidRPr="002E55C6">
        <w:rPr>
          <w:rFonts w:ascii="Times New Roman" w:eastAsia="Times New Roman" w:hAnsi="Times New Roman" w:cs="Arial"/>
          <w:i/>
          <w:iCs/>
          <w:sz w:val="24"/>
          <w:szCs w:val="24"/>
          <w:lang w:val="en-US" w:eastAsia="en-US"/>
        </w:rPr>
        <w:t>Pillar 1</w:t>
      </w:r>
      <w:r w:rsidRPr="002E55C6">
        <w:rPr>
          <w:rFonts w:ascii="Times New Roman" w:eastAsia="Times New Roman" w:hAnsi="Times New Roman" w:cs="Arial"/>
          <w:sz w:val="24"/>
          <w:szCs w:val="24"/>
          <w:lang w:val="en-US" w:eastAsia="en-US"/>
        </w:rPr>
        <w:t>: Extending the area under sustainable land management and reliable water control systems;</w:t>
      </w:r>
    </w:p>
    <w:p w:rsidR="002E55C6" w:rsidRPr="002E55C6" w:rsidRDefault="002E55C6" w:rsidP="002E55C6">
      <w:pPr>
        <w:numPr>
          <w:ilvl w:val="0"/>
          <w:numId w:val="14"/>
        </w:numPr>
        <w:tabs>
          <w:tab w:val="num" w:pos="720"/>
        </w:tabs>
        <w:spacing w:after="0" w:line="240" w:lineRule="auto"/>
        <w:rPr>
          <w:rFonts w:ascii="Times New Roman" w:eastAsia="Times New Roman" w:hAnsi="Times New Roman" w:cs="Arial"/>
          <w:sz w:val="24"/>
          <w:szCs w:val="24"/>
          <w:lang w:val="en-US" w:eastAsia="en-US"/>
        </w:rPr>
      </w:pPr>
      <w:r w:rsidRPr="002E55C6">
        <w:rPr>
          <w:rFonts w:ascii="Times New Roman" w:eastAsia="Times New Roman" w:hAnsi="Times New Roman" w:cs="Arial"/>
          <w:i/>
          <w:iCs/>
          <w:sz w:val="24"/>
          <w:szCs w:val="24"/>
          <w:lang w:val="en-US" w:eastAsia="en-US"/>
        </w:rPr>
        <w:t>Pillar 2</w:t>
      </w:r>
      <w:r w:rsidRPr="002E55C6">
        <w:rPr>
          <w:rFonts w:ascii="Times New Roman" w:eastAsia="Times New Roman" w:hAnsi="Times New Roman" w:cs="Arial"/>
          <w:sz w:val="24"/>
          <w:szCs w:val="24"/>
          <w:lang w:val="en-US" w:eastAsia="en-US"/>
        </w:rPr>
        <w:t>: Improving rural infrastructure and trade-related capacities for market access;</w:t>
      </w:r>
    </w:p>
    <w:p w:rsidR="002E55C6" w:rsidRPr="002E55C6" w:rsidRDefault="002E55C6" w:rsidP="002E55C6">
      <w:pPr>
        <w:numPr>
          <w:ilvl w:val="0"/>
          <w:numId w:val="14"/>
        </w:numPr>
        <w:tabs>
          <w:tab w:val="num" w:pos="720"/>
        </w:tabs>
        <w:spacing w:after="0" w:line="240" w:lineRule="auto"/>
        <w:rPr>
          <w:rFonts w:ascii="Times New Roman" w:eastAsia="Times New Roman" w:hAnsi="Times New Roman" w:cs="Arial"/>
          <w:sz w:val="24"/>
          <w:szCs w:val="24"/>
          <w:lang w:val="en-US" w:eastAsia="en-US"/>
        </w:rPr>
      </w:pPr>
      <w:r w:rsidRPr="002E55C6">
        <w:rPr>
          <w:rFonts w:ascii="Times New Roman" w:eastAsia="Times New Roman" w:hAnsi="Times New Roman" w:cs="Arial"/>
          <w:i/>
          <w:iCs/>
          <w:sz w:val="24"/>
          <w:szCs w:val="24"/>
          <w:lang w:val="en-US" w:eastAsia="en-US"/>
        </w:rPr>
        <w:t>Pillar 3</w:t>
      </w:r>
      <w:r w:rsidRPr="002E55C6">
        <w:rPr>
          <w:rFonts w:ascii="Times New Roman" w:eastAsia="Times New Roman" w:hAnsi="Times New Roman" w:cs="Arial"/>
          <w:sz w:val="24"/>
          <w:szCs w:val="24"/>
          <w:lang w:val="en-US" w:eastAsia="en-US"/>
        </w:rPr>
        <w:t>: Increasing food supply, reducing hunger, and improving responses to food emergency crises; and</w:t>
      </w:r>
    </w:p>
    <w:p w:rsidR="002E55C6" w:rsidRDefault="002E55C6" w:rsidP="00EC2691">
      <w:pPr>
        <w:numPr>
          <w:ilvl w:val="0"/>
          <w:numId w:val="14"/>
        </w:numPr>
        <w:tabs>
          <w:tab w:val="num" w:pos="720"/>
        </w:tabs>
        <w:spacing w:after="0" w:line="240" w:lineRule="auto"/>
        <w:rPr>
          <w:rFonts w:ascii="Times New Roman" w:eastAsia="Times New Roman" w:hAnsi="Times New Roman" w:cs="Arial"/>
          <w:sz w:val="24"/>
          <w:szCs w:val="24"/>
          <w:lang w:val="en-US" w:eastAsia="en-US"/>
        </w:rPr>
      </w:pPr>
      <w:r w:rsidRPr="002E55C6">
        <w:rPr>
          <w:rFonts w:ascii="Times New Roman" w:eastAsia="Times New Roman" w:hAnsi="Times New Roman" w:cs="Arial"/>
          <w:i/>
          <w:iCs/>
          <w:sz w:val="24"/>
          <w:szCs w:val="24"/>
          <w:lang w:val="en-US" w:eastAsia="en-US"/>
        </w:rPr>
        <w:t>Pillar 4</w:t>
      </w:r>
      <w:r w:rsidRPr="002E55C6">
        <w:rPr>
          <w:rFonts w:ascii="Times New Roman" w:eastAsia="Times New Roman" w:hAnsi="Times New Roman" w:cs="Arial"/>
          <w:sz w:val="24"/>
          <w:szCs w:val="24"/>
          <w:lang w:val="en-US" w:eastAsia="en-US"/>
        </w:rPr>
        <w:t>: Improving agriculture research, technology dissemination and adoption.</w:t>
      </w:r>
    </w:p>
    <w:p w:rsidR="002E55C6" w:rsidRPr="002E55C6" w:rsidRDefault="002E55C6" w:rsidP="002E55C6">
      <w:pPr>
        <w:spacing w:after="0" w:line="240" w:lineRule="auto"/>
        <w:ind w:left="360"/>
        <w:rPr>
          <w:rFonts w:ascii="Times New Roman" w:eastAsia="Times New Roman" w:hAnsi="Times New Roman" w:cs="Arial"/>
          <w:sz w:val="24"/>
          <w:szCs w:val="24"/>
          <w:lang w:val="en-US" w:eastAsia="en-US"/>
        </w:rPr>
      </w:pPr>
    </w:p>
    <w:p w:rsidR="00F705DF" w:rsidRPr="00F705DF" w:rsidRDefault="0036148E" w:rsidP="00EC2691">
      <w:pPr>
        <w:rPr>
          <w:sz w:val="24"/>
          <w:szCs w:val="24"/>
        </w:rPr>
      </w:pPr>
      <w:r w:rsidRPr="002F1D39">
        <w:rPr>
          <w:sz w:val="24"/>
          <w:szCs w:val="24"/>
        </w:rPr>
        <w:t xml:space="preserve"> Ethiopia </w:t>
      </w:r>
      <w:r w:rsidR="009549E7" w:rsidRPr="002F1D39">
        <w:rPr>
          <w:sz w:val="24"/>
          <w:szCs w:val="24"/>
        </w:rPr>
        <w:t>based on</w:t>
      </w:r>
      <w:r w:rsidR="002E55C6">
        <w:rPr>
          <w:sz w:val="24"/>
          <w:szCs w:val="24"/>
        </w:rPr>
        <w:t xml:space="preserve"> own and</w:t>
      </w:r>
      <w:r w:rsidR="009549E7" w:rsidRPr="002F1D39">
        <w:rPr>
          <w:sz w:val="24"/>
          <w:szCs w:val="24"/>
        </w:rPr>
        <w:t xml:space="preserve"> exp</w:t>
      </w:r>
      <w:r w:rsidR="00F705DF" w:rsidRPr="002F1D39">
        <w:rPr>
          <w:sz w:val="24"/>
          <w:szCs w:val="24"/>
        </w:rPr>
        <w:t>eriences of other countries</w:t>
      </w:r>
      <w:r w:rsidR="009549E7" w:rsidRPr="002F1D39">
        <w:rPr>
          <w:sz w:val="24"/>
          <w:szCs w:val="24"/>
        </w:rPr>
        <w:t xml:space="preserve"> </w:t>
      </w:r>
      <w:r w:rsidRPr="002F1D39">
        <w:rPr>
          <w:sz w:val="24"/>
          <w:szCs w:val="24"/>
        </w:rPr>
        <w:t xml:space="preserve">has developed its CAADP compact and identified four </w:t>
      </w:r>
      <w:r w:rsidR="00F705DF" w:rsidRPr="002F1D39">
        <w:rPr>
          <w:sz w:val="24"/>
          <w:szCs w:val="24"/>
        </w:rPr>
        <w:t xml:space="preserve">indigenized </w:t>
      </w:r>
      <w:r w:rsidRPr="002F1D39">
        <w:rPr>
          <w:sz w:val="24"/>
          <w:szCs w:val="24"/>
        </w:rPr>
        <w:t xml:space="preserve">pillars of investment areas including land and water management, research and extension, markets and food </w:t>
      </w:r>
      <w:r w:rsidR="00EC2691" w:rsidRPr="002F1D39">
        <w:rPr>
          <w:sz w:val="24"/>
          <w:szCs w:val="24"/>
        </w:rPr>
        <w:t>security. It</w:t>
      </w:r>
      <w:r w:rsidR="00F705DF" w:rsidRPr="002F1D39">
        <w:rPr>
          <w:sz w:val="24"/>
          <w:szCs w:val="24"/>
        </w:rPr>
        <w:t xml:space="preserve"> also formulated its five years growth and transformation plan- GTP that </w:t>
      </w:r>
      <w:r w:rsidR="000A4231" w:rsidRPr="002F1D39">
        <w:rPr>
          <w:sz w:val="24"/>
          <w:szCs w:val="24"/>
        </w:rPr>
        <w:t>indicates</w:t>
      </w:r>
      <w:r w:rsidR="00F705DF" w:rsidRPr="002F1D39">
        <w:rPr>
          <w:sz w:val="24"/>
          <w:szCs w:val="24"/>
        </w:rPr>
        <w:t xml:space="preserve"> agriculture to be a major source of economic growth. The same document emphasized the enhancement of the use of country’s water resources</w:t>
      </w:r>
      <w:r w:rsidR="00EC2691" w:rsidRPr="002F1D39">
        <w:rPr>
          <w:sz w:val="24"/>
          <w:szCs w:val="24"/>
        </w:rPr>
        <w:t xml:space="preserve"> to promote </w:t>
      </w:r>
      <w:r w:rsidR="00EC2691" w:rsidRPr="002F1D39">
        <w:rPr>
          <w:rFonts w:ascii="Times New Roman" w:eastAsia="Times New Roman" w:hAnsi="Times New Roman" w:cs="Times New Roman"/>
          <w:sz w:val="24"/>
          <w:szCs w:val="24"/>
          <w:lang w:val="en-US" w:eastAsia="en-US"/>
        </w:rPr>
        <w:t>multiple</w:t>
      </w:r>
      <w:r w:rsidR="00EC2691" w:rsidRPr="00F705DF">
        <w:rPr>
          <w:rFonts w:ascii="Times New Roman" w:eastAsia="Times New Roman" w:hAnsi="Times New Roman" w:cs="Times New Roman"/>
          <w:sz w:val="24"/>
          <w:szCs w:val="24"/>
          <w:lang w:val="en-US" w:eastAsia="en-US"/>
        </w:rPr>
        <w:t xml:space="preserve"> cropping and better cope with climate variability and insure food </w:t>
      </w:r>
      <w:r w:rsidR="00EC2691" w:rsidRPr="002F1D39">
        <w:rPr>
          <w:rFonts w:ascii="Times New Roman" w:eastAsia="Times New Roman" w:hAnsi="Times New Roman" w:cs="Times New Roman"/>
          <w:sz w:val="24"/>
          <w:szCs w:val="24"/>
          <w:lang w:val="en-US" w:eastAsia="en-US"/>
        </w:rPr>
        <w:t>security</w:t>
      </w:r>
      <w:r w:rsidR="00EC2691" w:rsidRPr="002F1D39">
        <w:rPr>
          <w:sz w:val="24"/>
          <w:szCs w:val="24"/>
        </w:rPr>
        <w:t xml:space="preserve">. </w:t>
      </w:r>
      <w:r w:rsidR="00F705DF" w:rsidRPr="00F705DF">
        <w:rPr>
          <w:rFonts w:ascii="Times New Roman" w:eastAsia="Times New Roman" w:hAnsi="Times New Roman" w:cs="Times New Roman"/>
          <w:sz w:val="24"/>
          <w:szCs w:val="24"/>
          <w:lang w:val="en-US" w:eastAsia="en-US"/>
        </w:rPr>
        <w:t xml:space="preserve">Expansion of small scale irrigation will be given priority while due attention will be given to medium and large scale irrigation to the extent possible. Concerted efforts will be made to expand water shade management and to carry out effective water and moisture retaining works. </w:t>
      </w:r>
      <w:r w:rsidR="00EC2691" w:rsidRPr="002F1D39">
        <w:rPr>
          <w:rFonts w:ascii="Times New Roman" w:eastAsia="Times New Roman" w:hAnsi="Times New Roman" w:cs="Times New Roman"/>
          <w:sz w:val="24"/>
          <w:szCs w:val="24"/>
          <w:lang w:val="en-US" w:eastAsia="en-US"/>
        </w:rPr>
        <w:t>(</w:t>
      </w:r>
      <w:proofErr w:type="gramStart"/>
      <w:r w:rsidR="00EC2691" w:rsidRPr="002F1D39">
        <w:rPr>
          <w:rFonts w:ascii="Times New Roman" w:eastAsia="Times New Roman" w:hAnsi="Times New Roman" w:cs="Times New Roman"/>
          <w:sz w:val="24"/>
          <w:szCs w:val="24"/>
          <w:lang w:val="en-US" w:eastAsia="en-US"/>
        </w:rPr>
        <w:t>page</w:t>
      </w:r>
      <w:proofErr w:type="gramEnd"/>
      <w:r w:rsidR="00EC2691" w:rsidRPr="002F1D39">
        <w:rPr>
          <w:rFonts w:ascii="Times New Roman" w:eastAsia="Times New Roman" w:hAnsi="Times New Roman" w:cs="Times New Roman"/>
          <w:sz w:val="24"/>
          <w:szCs w:val="24"/>
          <w:lang w:val="en-US" w:eastAsia="en-US"/>
        </w:rPr>
        <w:t xml:space="preserve"> 8 of GTP)</w:t>
      </w:r>
    </w:p>
    <w:p w:rsidR="006F515F" w:rsidRDefault="0036148E" w:rsidP="00F114C1">
      <w:pPr>
        <w:rPr>
          <w:sz w:val="24"/>
          <w:szCs w:val="24"/>
        </w:rPr>
      </w:pPr>
      <w:r w:rsidRPr="002F1D39">
        <w:rPr>
          <w:sz w:val="24"/>
          <w:szCs w:val="24"/>
        </w:rPr>
        <w:t>The CGIAR research endeavours are also expected to be aligned with this country owned investment framework</w:t>
      </w:r>
      <w:r w:rsidR="00EC2691" w:rsidRPr="002F1D39">
        <w:rPr>
          <w:sz w:val="24"/>
          <w:szCs w:val="24"/>
        </w:rPr>
        <w:t>s, national development plan and</w:t>
      </w:r>
      <w:r w:rsidR="00AC36C6" w:rsidRPr="002F1D39">
        <w:rPr>
          <w:sz w:val="24"/>
          <w:szCs w:val="24"/>
        </w:rPr>
        <w:t xml:space="preserve"> coordination mechanisms.  In Ethiopia, the RED/FS</w:t>
      </w:r>
      <w:r w:rsidR="00947535" w:rsidRPr="002F1D39">
        <w:rPr>
          <w:sz w:val="24"/>
          <w:szCs w:val="24"/>
        </w:rPr>
        <w:t>, is</w:t>
      </w:r>
      <w:r w:rsidR="00AC36C6" w:rsidRPr="002F1D39">
        <w:rPr>
          <w:sz w:val="24"/>
          <w:szCs w:val="24"/>
        </w:rPr>
        <w:t xml:space="preserve"> a good example of donor coordination mechanism </w:t>
      </w:r>
      <w:r w:rsidR="00947535" w:rsidRPr="002F1D39">
        <w:rPr>
          <w:sz w:val="24"/>
          <w:szCs w:val="24"/>
        </w:rPr>
        <w:t>existed at</w:t>
      </w:r>
      <w:r w:rsidR="00AC36C6" w:rsidRPr="002F1D39">
        <w:rPr>
          <w:sz w:val="24"/>
          <w:szCs w:val="24"/>
        </w:rPr>
        <w:t xml:space="preserve"> national level whereby all donors, NGOs, private sector, universities</w:t>
      </w:r>
      <w:r w:rsidR="00EC2691" w:rsidRPr="002F1D39">
        <w:rPr>
          <w:sz w:val="24"/>
          <w:szCs w:val="24"/>
        </w:rPr>
        <w:t>, and professional associations are</w:t>
      </w:r>
      <w:r w:rsidR="00AC36C6" w:rsidRPr="002F1D39">
        <w:rPr>
          <w:sz w:val="24"/>
          <w:szCs w:val="24"/>
        </w:rPr>
        <w:t xml:space="preserve"> represented and contribute for national dialog. There are </w:t>
      </w:r>
      <w:r w:rsidR="00947535" w:rsidRPr="002F1D39">
        <w:rPr>
          <w:sz w:val="24"/>
          <w:szCs w:val="24"/>
        </w:rPr>
        <w:t>also technical</w:t>
      </w:r>
      <w:r w:rsidR="00AC36C6" w:rsidRPr="002F1D39">
        <w:rPr>
          <w:sz w:val="24"/>
          <w:szCs w:val="24"/>
        </w:rPr>
        <w:t xml:space="preserve"> working groups</w:t>
      </w:r>
      <w:r w:rsidR="00947535" w:rsidRPr="002F1D39">
        <w:rPr>
          <w:sz w:val="24"/>
          <w:szCs w:val="24"/>
        </w:rPr>
        <w:t xml:space="preserve"> and taskforces</w:t>
      </w:r>
      <w:r w:rsidR="00AC36C6" w:rsidRPr="002F1D39">
        <w:rPr>
          <w:sz w:val="24"/>
          <w:szCs w:val="24"/>
        </w:rPr>
        <w:t xml:space="preserve"> organized under the RE</w:t>
      </w:r>
      <w:r w:rsidR="00947535" w:rsidRPr="002F1D39">
        <w:rPr>
          <w:sz w:val="24"/>
          <w:szCs w:val="24"/>
        </w:rPr>
        <w:t>D</w:t>
      </w:r>
      <w:r w:rsidR="00AC36C6" w:rsidRPr="002F1D39">
        <w:rPr>
          <w:sz w:val="24"/>
          <w:szCs w:val="24"/>
        </w:rPr>
        <w:t>/FS coordination platforms</w:t>
      </w:r>
      <w:r w:rsidR="00596BB7">
        <w:rPr>
          <w:sz w:val="24"/>
          <w:szCs w:val="24"/>
        </w:rPr>
        <w:t xml:space="preserve"> that includes the SLM technical</w:t>
      </w:r>
      <w:r w:rsidR="00146CBD">
        <w:rPr>
          <w:sz w:val="24"/>
          <w:szCs w:val="24"/>
        </w:rPr>
        <w:t xml:space="preserve"> </w:t>
      </w:r>
      <w:r w:rsidR="006F7ACB">
        <w:rPr>
          <w:sz w:val="24"/>
          <w:szCs w:val="24"/>
        </w:rPr>
        <w:t>c</w:t>
      </w:r>
      <w:r w:rsidR="00146CBD">
        <w:rPr>
          <w:sz w:val="24"/>
          <w:szCs w:val="24"/>
        </w:rPr>
        <w:t>ommittee</w:t>
      </w:r>
      <w:r w:rsidR="00596BB7">
        <w:rPr>
          <w:sz w:val="24"/>
          <w:szCs w:val="24"/>
        </w:rPr>
        <w:t>, agricultural growth</w:t>
      </w:r>
      <w:r w:rsidR="00146CBD">
        <w:rPr>
          <w:sz w:val="24"/>
          <w:szCs w:val="24"/>
        </w:rPr>
        <w:t xml:space="preserve">, </w:t>
      </w:r>
      <w:proofErr w:type="gramStart"/>
      <w:r w:rsidR="00146CBD">
        <w:rPr>
          <w:sz w:val="24"/>
          <w:szCs w:val="24"/>
        </w:rPr>
        <w:t>private</w:t>
      </w:r>
      <w:proofErr w:type="gramEnd"/>
      <w:r w:rsidR="00596BB7">
        <w:rPr>
          <w:sz w:val="24"/>
          <w:szCs w:val="24"/>
        </w:rPr>
        <w:t xml:space="preserve"> sector and food security working groups.</w:t>
      </w:r>
      <w:r w:rsidR="00B11681" w:rsidRPr="002F1D39">
        <w:rPr>
          <w:sz w:val="24"/>
          <w:szCs w:val="24"/>
        </w:rPr>
        <w:t xml:space="preserve"> </w:t>
      </w:r>
      <w:r w:rsidR="00947535" w:rsidRPr="002F1D39">
        <w:rPr>
          <w:sz w:val="24"/>
          <w:szCs w:val="24"/>
        </w:rPr>
        <w:t xml:space="preserve"> Agricultural development partners’ linkage advisory council (ADPLAC) is</w:t>
      </w:r>
      <w:r w:rsidR="00B11681" w:rsidRPr="002F1D39">
        <w:rPr>
          <w:sz w:val="24"/>
          <w:szCs w:val="24"/>
        </w:rPr>
        <w:t xml:space="preserve"> also one of the coordination</w:t>
      </w:r>
      <w:r w:rsidR="00947535" w:rsidRPr="002F1D39">
        <w:rPr>
          <w:sz w:val="24"/>
          <w:szCs w:val="24"/>
        </w:rPr>
        <w:t xml:space="preserve"> and networking mechanism to link research, extensi</w:t>
      </w:r>
      <w:r w:rsidR="00EC2691" w:rsidRPr="002F1D39">
        <w:rPr>
          <w:sz w:val="24"/>
          <w:szCs w:val="24"/>
        </w:rPr>
        <w:t>on, farmer and industry</w:t>
      </w:r>
      <w:r w:rsidR="00947535" w:rsidRPr="002F1D39">
        <w:rPr>
          <w:sz w:val="24"/>
          <w:szCs w:val="24"/>
        </w:rPr>
        <w:t>.</w:t>
      </w:r>
      <w:r w:rsidR="00B11681" w:rsidRPr="002F1D39">
        <w:rPr>
          <w:sz w:val="24"/>
          <w:szCs w:val="24"/>
        </w:rPr>
        <w:t xml:space="preserve"> Therefore, the </w:t>
      </w:r>
      <w:r w:rsidR="00EC2691" w:rsidRPr="002F1D39">
        <w:rPr>
          <w:sz w:val="24"/>
          <w:szCs w:val="24"/>
        </w:rPr>
        <w:t>CGIAR research system is</w:t>
      </w:r>
      <w:r w:rsidR="00B11681" w:rsidRPr="002F1D39">
        <w:rPr>
          <w:sz w:val="24"/>
          <w:szCs w:val="24"/>
        </w:rPr>
        <w:t xml:space="preserve"> expected to collaborate and be part of the national coordination mechanism and their research agenda </w:t>
      </w:r>
      <w:r w:rsidR="00C76CF1" w:rsidRPr="002F1D39">
        <w:rPr>
          <w:sz w:val="24"/>
          <w:szCs w:val="24"/>
        </w:rPr>
        <w:t xml:space="preserve">setting </w:t>
      </w:r>
      <w:r w:rsidR="00B11681" w:rsidRPr="002F1D39">
        <w:rPr>
          <w:sz w:val="24"/>
          <w:szCs w:val="24"/>
        </w:rPr>
        <w:t xml:space="preserve">should pass through the national research review </w:t>
      </w:r>
      <w:r w:rsidR="00C76CF1" w:rsidRPr="002F1D39">
        <w:rPr>
          <w:sz w:val="24"/>
          <w:szCs w:val="24"/>
        </w:rPr>
        <w:t xml:space="preserve">process </w:t>
      </w:r>
      <w:r w:rsidR="00B11681" w:rsidRPr="002F1D39">
        <w:rPr>
          <w:sz w:val="24"/>
          <w:szCs w:val="24"/>
        </w:rPr>
        <w:t>and</w:t>
      </w:r>
      <w:r w:rsidR="00EC2691" w:rsidRPr="002F1D39">
        <w:rPr>
          <w:sz w:val="24"/>
          <w:szCs w:val="24"/>
        </w:rPr>
        <w:t xml:space="preserve"> </w:t>
      </w:r>
      <w:r w:rsidR="00C76CF1" w:rsidRPr="002F1D39">
        <w:rPr>
          <w:sz w:val="24"/>
          <w:szCs w:val="24"/>
        </w:rPr>
        <w:t xml:space="preserve">research findings to pass through the ADPLAC </w:t>
      </w:r>
      <w:r w:rsidR="00B11681" w:rsidRPr="002F1D39">
        <w:rPr>
          <w:sz w:val="24"/>
          <w:szCs w:val="24"/>
        </w:rPr>
        <w:t>process</w:t>
      </w:r>
      <w:r w:rsidR="00EC2691" w:rsidRPr="002F1D39">
        <w:rPr>
          <w:sz w:val="24"/>
          <w:szCs w:val="24"/>
        </w:rPr>
        <w:t xml:space="preserve"> for grassroots level applications</w:t>
      </w:r>
      <w:r w:rsidR="00B11681" w:rsidRPr="002F1D39">
        <w:rPr>
          <w:sz w:val="24"/>
          <w:szCs w:val="24"/>
        </w:rPr>
        <w:t xml:space="preserve">. These efforts will ensure sustainability, avoid duplication of efforts and facilitate early uptake of research recommendations for different uses including policy reform. The question here is, are the CGIAR </w:t>
      </w:r>
      <w:r w:rsidR="00C76CF1" w:rsidRPr="002F1D39">
        <w:rPr>
          <w:sz w:val="24"/>
          <w:szCs w:val="24"/>
        </w:rPr>
        <w:t>research</w:t>
      </w:r>
      <w:r w:rsidR="00B11681" w:rsidRPr="002F1D39">
        <w:rPr>
          <w:sz w:val="24"/>
          <w:szCs w:val="24"/>
        </w:rPr>
        <w:t xml:space="preserve"> </w:t>
      </w:r>
      <w:r w:rsidR="00C76CF1" w:rsidRPr="002F1D39">
        <w:rPr>
          <w:sz w:val="24"/>
          <w:szCs w:val="24"/>
        </w:rPr>
        <w:t>centres</w:t>
      </w:r>
      <w:r w:rsidR="00B11681" w:rsidRPr="002F1D39">
        <w:rPr>
          <w:sz w:val="24"/>
          <w:szCs w:val="24"/>
        </w:rPr>
        <w:t xml:space="preserve"> part of the national coordination system</w:t>
      </w:r>
      <w:r w:rsidR="00013F29">
        <w:rPr>
          <w:sz w:val="24"/>
          <w:szCs w:val="24"/>
        </w:rPr>
        <w:t xml:space="preserve"> including IWMI and ILRI</w:t>
      </w:r>
      <w:r w:rsidR="00B11681" w:rsidRPr="002F1D39">
        <w:rPr>
          <w:sz w:val="24"/>
          <w:szCs w:val="24"/>
        </w:rPr>
        <w:t>? The answer is mixed- yes or no.</w:t>
      </w:r>
      <w:r w:rsidR="00EC2691" w:rsidRPr="002F1D39">
        <w:rPr>
          <w:sz w:val="24"/>
          <w:szCs w:val="24"/>
        </w:rPr>
        <w:t xml:space="preserve"> As observed few centres</w:t>
      </w:r>
      <w:r w:rsidR="00C76CF1" w:rsidRPr="002F1D39">
        <w:rPr>
          <w:sz w:val="24"/>
          <w:szCs w:val="24"/>
        </w:rPr>
        <w:t xml:space="preserve"> are working together with the national research system but the majority of them are not.</w:t>
      </w:r>
      <w:r w:rsidR="00B11681" w:rsidRPr="002F1D39">
        <w:rPr>
          <w:sz w:val="24"/>
          <w:szCs w:val="24"/>
        </w:rPr>
        <w:t xml:space="preserve"> </w:t>
      </w:r>
      <w:r w:rsidR="00C76CF1" w:rsidRPr="002F1D39">
        <w:rPr>
          <w:sz w:val="24"/>
          <w:szCs w:val="24"/>
        </w:rPr>
        <w:t xml:space="preserve">The NBDC as a research project </w:t>
      </w:r>
      <w:r w:rsidR="000A4231" w:rsidRPr="002F1D39">
        <w:rPr>
          <w:sz w:val="24"/>
          <w:szCs w:val="24"/>
        </w:rPr>
        <w:t xml:space="preserve">could take the </w:t>
      </w:r>
      <w:r w:rsidR="00E33F23" w:rsidRPr="002F1D39">
        <w:rPr>
          <w:sz w:val="24"/>
          <w:szCs w:val="24"/>
        </w:rPr>
        <w:t>first step</w:t>
      </w:r>
      <w:r w:rsidR="000A4231" w:rsidRPr="002F1D39">
        <w:rPr>
          <w:sz w:val="24"/>
          <w:szCs w:val="24"/>
        </w:rPr>
        <w:t xml:space="preserve"> to</w:t>
      </w:r>
      <w:r w:rsidR="00146CBD">
        <w:rPr>
          <w:sz w:val="24"/>
          <w:szCs w:val="24"/>
        </w:rPr>
        <w:t xml:space="preserve"> share the idea and </w:t>
      </w:r>
      <w:r w:rsidR="000A4231" w:rsidRPr="002F1D39">
        <w:rPr>
          <w:sz w:val="24"/>
          <w:szCs w:val="24"/>
        </w:rPr>
        <w:t xml:space="preserve"> initiate discussion among the CG system on how they can </w:t>
      </w:r>
      <w:r w:rsidR="000A4231" w:rsidRPr="002F1D39">
        <w:rPr>
          <w:sz w:val="24"/>
          <w:szCs w:val="24"/>
        </w:rPr>
        <w:lastRenderedPageBreak/>
        <w:t>be represented at the national coordination mechanism</w:t>
      </w:r>
      <w:r w:rsidR="00E33F23" w:rsidRPr="002F1D39">
        <w:rPr>
          <w:sz w:val="24"/>
          <w:szCs w:val="24"/>
        </w:rPr>
        <w:t>( can be on rotational bases)</w:t>
      </w:r>
      <w:r w:rsidR="000A4231" w:rsidRPr="002F1D39">
        <w:rPr>
          <w:sz w:val="24"/>
          <w:szCs w:val="24"/>
        </w:rPr>
        <w:t xml:space="preserve"> </w:t>
      </w:r>
      <w:r w:rsidR="00C76CF1" w:rsidRPr="002F1D39">
        <w:rPr>
          <w:sz w:val="24"/>
          <w:szCs w:val="24"/>
        </w:rPr>
        <w:t xml:space="preserve">to share research results, </w:t>
      </w:r>
      <w:r w:rsidR="000A4231" w:rsidRPr="002F1D39">
        <w:rPr>
          <w:sz w:val="24"/>
          <w:szCs w:val="24"/>
        </w:rPr>
        <w:t xml:space="preserve">recommendations, </w:t>
      </w:r>
      <w:r w:rsidR="00C76CF1" w:rsidRPr="002F1D39">
        <w:rPr>
          <w:sz w:val="24"/>
          <w:szCs w:val="24"/>
        </w:rPr>
        <w:t>process and tools to influence policy, institution and practices.</w:t>
      </w:r>
      <w:r w:rsidR="00A84FDE">
        <w:rPr>
          <w:sz w:val="24"/>
          <w:szCs w:val="24"/>
        </w:rPr>
        <w:t xml:space="preserve"> </w:t>
      </w:r>
      <w:r w:rsidR="006F515F">
        <w:rPr>
          <w:sz w:val="24"/>
          <w:szCs w:val="24"/>
        </w:rPr>
        <w:t>In all the process, NBDC works will be aligned with all water and land management initiatives at national and regional levels.</w:t>
      </w:r>
    </w:p>
    <w:p w:rsidR="006F515F" w:rsidRPr="006F515F" w:rsidRDefault="006F515F" w:rsidP="00F114C1">
      <w:pPr>
        <w:rPr>
          <w:b/>
          <w:sz w:val="24"/>
          <w:szCs w:val="24"/>
        </w:rPr>
      </w:pPr>
      <w:r w:rsidRPr="006F515F">
        <w:rPr>
          <w:b/>
          <w:sz w:val="24"/>
          <w:szCs w:val="24"/>
        </w:rPr>
        <w:t>Basin wide coordination mechanism</w:t>
      </w:r>
    </w:p>
    <w:p w:rsidR="00A95592" w:rsidRDefault="006F515F" w:rsidP="00A95592">
      <w:pPr>
        <w:jc w:val="both"/>
        <w:rPr>
          <w:rFonts w:ascii="Verdana" w:eastAsia="Times New Roman" w:hAnsi="Verdana" w:cs="Times New Roman"/>
          <w:color w:val="0D0D0D" w:themeColor="text1" w:themeTint="F2"/>
          <w:sz w:val="24"/>
          <w:szCs w:val="24"/>
          <w:lang w:val="en-US" w:eastAsia="en-US"/>
        </w:rPr>
      </w:pPr>
      <w:r>
        <w:rPr>
          <w:sz w:val="24"/>
          <w:szCs w:val="24"/>
        </w:rPr>
        <w:t xml:space="preserve">In the past years, there was no as such Nile Basin wide coordination of research and development efforts of the different stakeholders. The establishment of Nile basin development Authority is a recent </w:t>
      </w:r>
      <w:r w:rsidR="00835C36">
        <w:rPr>
          <w:sz w:val="24"/>
          <w:szCs w:val="24"/>
        </w:rPr>
        <w:t xml:space="preserve">phenomenon. </w:t>
      </w:r>
      <w:r>
        <w:rPr>
          <w:sz w:val="24"/>
          <w:szCs w:val="24"/>
        </w:rPr>
        <w:t xml:space="preserve"> </w:t>
      </w:r>
      <w:r w:rsidR="00835C36">
        <w:rPr>
          <w:sz w:val="24"/>
          <w:szCs w:val="24"/>
        </w:rPr>
        <w:t xml:space="preserve">The catchment areas of the basin fall under the three regions- </w:t>
      </w:r>
      <w:proofErr w:type="spellStart"/>
      <w:r w:rsidR="00835C36">
        <w:rPr>
          <w:sz w:val="24"/>
          <w:szCs w:val="24"/>
        </w:rPr>
        <w:t>Amhara</w:t>
      </w:r>
      <w:proofErr w:type="spellEnd"/>
      <w:r w:rsidR="00835C36">
        <w:rPr>
          <w:sz w:val="24"/>
          <w:szCs w:val="24"/>
        </w:rPr>
        <w:t xml:space="preserve">, </w:t>
      </w:r>
      <w:proofErr w:type="spellStart"/>
      <w:r w:rsidR="00835C36">
        <w:rPr>
          <w:sz w:val="24"/>
          <w:szCs w:val="24"/>
        </w:rPr>
        <w:t>Oromiya</w:t>
      </w:r>
      <w:proofErr w:type="spellEnd"/>
      <w:r w:rsidR="00835C36">
        <w:rPr>
          <w:sz w:val="24"/>
          <w:szCs w:val="24"/>
        </w:rPr>
        <w:t xml:space="preserve"> and </w:t>
      </w:r>
      <w:proofErr w:type="spellStart"/>
      <w:r w:rsidR="00835C36">
        <w:rPr>
          <w:sz w:val="24"/>
          <w:szCs w:val="24"/>
        </w:rPr>
        <w:t>B</w:t>
      </w:r>
      <w:r w:rsidR="00323BE8">
        <w:rPr>
          <w:sz w:val="24"/>
          <w:szCs w:val="24"/>
        </w:rPr>
        <w:t>enishangul</w:t>
      </w:r>
      <w:proofErr w:type="spellEnd"/>
      <w:r w:rsidR="00323BE8">
        <w:rPr>
          <w:sz w:val="24"/>
          <w:szCs w:val="24"/>
        </w:rPr>
        <w:t xml:space="preserve"> </w:t>
      </w:r>
      <w:proofErr w:type="spellStart"/>
      <w:r w:rsidR="00323BE8">
        <w:rPr>
          <w:sz w:val="24"/>
          <w:szCs w:val="24"/>
        </w:rPr>
        <w:t>G</w:t>
      </w:r>
      <w:r w:rsidR="00835C36">
        <w:rPr>
          <w:sz w:val="24"/>
          <w:szCs w:val="24"/>
        </w:rPr>
        <w:t>umuz</w:t>
      </w:r>
      <w:proofErr w:type="spellEnd"/>
      <w:r w:rsidR="00835C36">
        <w:rPr>
          <w:sz w:val="24"/>
          <w:szCs w:val="24"/>
        </w:rPr>
        <w:t xml:space="preserve"> administrative regions.</w:t>
      </w:r>
      <w:r w:rsidR="00A95592" w:rsidRPr="00A95592">
        <w:rPr>
          <w:rFonts w:ascii="Verdana" w:eastAsia="Times New Roman" w:hAnsi="Verdana" w:cs="Times New Roman"/>
          <w:color w:val="0D0D0D" w:themeColor="text1" w:themeTint="F2"/>
          <w:sz w:val="24"/>
          <w:szCs w:val="24"/>
          <w:lang w:val="en-US" w:eastAsia="en-US"/>
        </w:rPr>
        <w:t xml:space="preserve"> </w:t>
      </w:r>
    </w:p>
    <w:p w:rsidR="00A95592" w:rsidRPr="00A95592" w:rsidRDefault="00A95592" w:rsidP="00A95592">
      <w:pPr>
        <w:jc w:val="both"/>
        <w:rPr>
          <w:rFonts w:eastAsia="Times New Roman" w:cs="Times New Roman"/>
          <w:sz w:val="24"/>
          <w:szCs w:val="24"/>
          <w:lang w:val="en-US" w:eastAsia="en-US"/>
        </w:rPr>
      </w:pPr>
      <w:r w:rsidRPr="00A95592">
        <w:rPr>
          <w:rFonts w:eastAsia="Times New Roman" w:cs="Times New Roman"/>
          <w:color w:val="0D0D0D" w:themeColor="text1" w:themeTint="F2"/>
          <w:sz w:val="24"/>
          <w:szCs w:val="24"/>
          <w:lang w:val="en-US" w:eastAsia="en-US"/>
        </w:rPr>
        <w:t xml:space="preserve">The </w:t>
      </w:r>
      <w:proofErr w:type="spellStart"/>
      <w:r w:rsidRPr="00A95592">
        <w:rPr>
          <w:rFonts w:eastAsia="Times New Roman" w:cs="Times New Roman"/>
          <w:color w:val="0D0D0D" w:themeColor="text1" w:themeTint="F2"/>
          <w:sz w:val="24"/>
          <w:szCs w:val="24"/>
          <w:lang w:val="en-US" w:eastAsia="en-US"/>
        </w:rPr>
        <w:t>Abbay</w:t>
      </w:r>
      <w:proofErr w:type="spellEnd"/>
      <w:r w:rsidRPr="00A95592">
        <w:rPr>
          <w:rFonts w:eastAsia="Times New Roman" w:cs="Times New Roman"/>
          <w:color w:val="0D0D0D" w:themeColor="text1" w:themeTint="F2"/>
          <w:sz w:val="24"/>
          <w:szCs w:val="24"/>
          <w:lang w:val="en-US" w:eastAsia="en-US"/>
        </w:rPr>
        <w:t xml:space="preserve"> Basin, which has an area of 196,770 square kilometers, accounts for 20% of the country’s land area and harbors 25% of the country’s population. Over 40% of the country’s agricultural production and </w:t>
      </w:r>
      <w:r w:rsidRPr="00A95592">
        <w:rPr>
          <w:rFonts w:eastAsia="Times New Roman" w:cs="Arial"/>
          <w:sz w:val="24"/>
          <w:szCs w:val="24"/>
          <w:lang w:val="en-US" w:eastAsia="en-US"/>
        </w:rPr>
        <w:t xml:space="preserve">about 39% of the national cattle herd </w:t>
      </w:r>
      <w:r w:rsidRPr="00A95592">
        <w:rPr>
          <w:rFonts w:eastAsia="Times New Roman" w:cs="Times New Roman"/>
          <w:color w:val="0D0D0D" w:themeColor="text1" w:themeTint="F2"/>
          <w:sz w:val="24"/>
          <w:szCs w:val="24"/>
          <w:lang w:val="en-US" w:eastAsia="en-US"/>
        </w:rPr>
        <w:t>emanate from there.</w:t>
      </w:r>
      <w:r w:rsidRPr="00A95592">
        <w:rPr>
          <w:rFonts w:eastAsia="Times New Roman" w:cs="Arial"/>
          <w:sz w:val="28"/>
          <w:szCs w:val="28"/>
          <w:lang w:val="en-US" w:eastAsia="en-US"/>
        </w:rPr>
        <w:t xml:space="preserve"> </w:t>
      </w:r>
      <w:r w:rsidRPr="00A95592">
        <w:rPr>
          <w:rFonts w:eastAsia="Times New Roman" w:cs="Arial"/>
          <w:sz w:val="24"/>
          <w:szCs w:val="24"/>
          <w:lang w:val="en-US" w:eastAsia="en-US"/>
        </w:rPr>
        <w:t>(</w:t>
      </w:r>
      <w:proofErr w:type="spellStart"/>
      <w:r w:rsidRPr="00A95592">
        <w:rPr>
          <w:rFonts w:eastAsia="Times New Roman" w:cs="Arial"/>
          <w:sz w:val="24"/>
          <w:szCs w:val="24"/>
          <w:lang w:val="en-US" w:eastAsia="en-US"/>
        </w:rPr>
        <w:t>Abbay</w:t>
      </w:r>
      <w:proofErr w:type="spellEnd"/>
      <w:r w:rsidRPr="00A95592">
        <w:rPr>
          <w:rFonts w:eastAsia="Times New Roman" w:cs="Arial"/>
          <w:sz w:val="24"/>
          <w:szCs w:val="24"/>
          <w:lang w:val="en-US" w:eastAsia="en-US"/>
        </w:rPr>
        <w:t xml:space="preserve"> Master Plan, 1998)</w:t>
      </w:r>
      <w:r w:rsidRPr="00A95592">
        <w:rPr>
          <w:rFonts w:eastAsia="Times New Roman" w:cs="Times New Roman"/>
          <w:color w:val="0D0D0D" w:themeColor="text1" w:themeTint="F2"/>
          <w:sz w:val="24"/>
          <w:szCs w:val="24"/>
          <w:lang w:val="en-US" w:eastAsia="en-US"/>
        </w:rPr>
        <w:t xml:space="preserve"> </w:t>
      </w:r>
      <w:r w:rsidRPr="00A95592">
        <w:rPr>
          <w:rFonts w:eastAsia="Times New Roman" w:cs="Times New Roman"/>
          <w:sz w:val="24"/>
          <w:szCs w:val="24"/>
          <w:lang w:val="en-US" w:eastAsia="en-US"/>
        </w:rPr>
        <w:t xml:space="preserve">The </w:t>
      </w:r>
      <w:proofErr w:type="spellStart"/>
      <w:r w:rsidRPr="00A95592">
        <w:rPr>
          <w:rFonts w:eastAsia="Times New Roman" w:cs="Times New Roman"/>
          <w:sz w:val="24"/>
          <w:szCs w:val="24"/>
          <w:lang w:val="en-US" w:eastAsia="en-US"/>
        </w:rPr>
        <w:t>Abbay</w:t>
      </w:r>
      <w:proofErr w:type="spellEnd"/>
      <w:r w:rsidRPr="00A95592">
        <w:rPr>
          <w:rFonts w:eastAsia="Times New Roman" w:cs="Times New Roman"/>
          <w:sz w:val="24"/>
          <w:szCs w:val="24"/>
          <w:lang w:val="en-US" w:eastAsia="en-US"/>
        </w:rPr>
        <w:t xml:space="preserve"> Basin provides the major water supply of the Nile River along with other demographic and ecological assets. Having abundant water resources with many rivers draining into the </w:t>
      </w:r>
      <w:proofErr w:type="spellStart"/>
      <w:r w:rsidRPr="00A95592">
        <w:rPr>
          <w:rFonts w:eastAsia="Times New Roman" w:cs="Times New Roman"/>
          <w:sz w:val="24"/>
          <w:szCs w:val="24"/>
          <w:lang w:val="en-US" w:eastAsia="en-US"/>
        </w:rPr>
        <w:t>Abbay</w:t>
      </w:r>
      <w:proofErr w:type="spellEnd"/>
      <w:r w:rsidRPr="00A95592">
        <w:rPr>
          <w:rFonts w:eastAsia="Times New Roman" w:cs="Times New Roman"/>
          <w:sz w:val="24"/>
          <w:szCs w:val="24"/>
          <w:lang w:val="en-US" w:eastAsia="en-US"/>
        </w:rPr>
        <w:t xml:space="preserve"> River and featuring the biggest freshwater lake in the country, Lake </w:t>
      </w:r>
      <w:proofErr w:type="spellStart"/>
      <w:r w:rsidRPr="00A95592">
        <w:rPr>
          <w:rFonts w:eastAsia="Times New Roman" w:cs="Times New Roman"/>
          <w:sz w:val="24"/>
          <w:szCs w:val="24"/>
          <w:lang w:val="en-US" w:eastAsia="en-US"/>
        </w:rPr>
        <w:t>Tana</w:t>
      </w:r>
      <w:proofErr w:type="spellEnd"/>
      <w:r w:rsidRPr="00A95592">
        <w:rPr>
          <w:rFonts w:eastAsia="Times New Roman" w:cs="Times New Roman"/>
          <w:sz w:val="24"/>
          <w:szCs w:val="24"/>
          <w:lang w:val="en-US" w:eastAsia="en-US"/>
        </w:rPr>
        <w:t>, the Basin has been an important source of biodiversity, food, wildlife, bird life and stunning scenery of diverse ecology ranging from desert like environment to alpine conditions.</w:t>
      </w:r>
    </w:p>
    <w:p w:rsidR="00A95592" w:rsidRDefault="00A95592" w:rsidP="00A95592">
      <w:pPr>
        <w:spacing w:after="0" w:line="240" w:lineRule="auto"/>
        <w:jc w:val="both"/>
        <w:rPr>
          <w:rFonts w:eastAsia="Times New Roman" w:cs="Times New Roman"/>
          <w:sz w:val="24"/>
          <w:szCs w:val="24"/>
          <w:lang w:val="en-US" w:eastAsia="en-US"/>
        </w:rPr>
      </w:pPr>
      <w:r w:rsidRPr="00A95592">
        <w:rPr>
          <w:rFonts w:eastAsia="Times New Roman" w:cs="Times New Roman"/>
          <w:color w:val="0D0D0D" w:themeColor="text1" w:themeTint="F2"/>
          <w:sz w:val="24"/>
          <w:szCs w:val="24"/>
          <w:lang w:val="en-US" w:eastAsia="en-US"/>
        </w:rPr>
        <w:t xml:space="preserve">However, the Basin’s natural resource including its biodiversity, socio-cultural values and relics have seriously been affected by its </w:t>
      </w:r>
      <w:r w:rsidRPr="00A95592">
        <w:rPr>
          <w:rFonts w:eastAsia="Times New Roman" w:cs="Times New Roman"/>
          <w:color w:val="0D0D0D" w:themeColor="text1" w:themeTint="F2"/>
          <w:sz w:val="24"/>
          <w:szCs w:val="24"/>
          <w:lang w:val="en-US" w:eastAsia="en-US"/>
        </w:rPr>
        <w:t>century’s</w:t>
      </w:r>
      <w:r w:rsidRPr="00A95592">
        <w:rPr>
          <w:rFonts w:eastAsia="Times New Roman" w:cs="Times New Roman"/>
          <w:color w:val="0D0D0D" w:themeColor="text1" w:themeTint="F2"/>
          <w:sz w:val="24"/>
          <w:szCs w:val="24"/>
          <w:lang w:val="en-US" w:eastAsia="en-US"/>
        </w:rPr>
        <w:t xml:space="preserve"> long environmental degradation.</w:t>
      </w:r>
      <w:r w:rsidRPr="00A95592">
        <w:rPr>
          <w:rFonts w:eastAsia="Times New Roman" w:cs="Times New Roman"/>
          <w:sz w:val="24"/>
          <w:szCs w:val="24"/>
          <w:lang w:val="en-US" w:eastAsia="en-US"/>
        </w:rPr>
        <w:t xml:space="preserve"> Though awareness raising efforts about the importance of sustaining upstream environmental integrity have been made, there has hardly been any investment to shore up the Basin’s development.  Hence, the Basin’s acute degradation has been there for all to see with dismaying consequences such as acute food shortages, regional warming, wastage in farmable space and losses of wildlife.</w:t>
      </w:r>
    </w:p>
    <w:p w:rsidR="00835C36" w:rsidRPr="00551FDB" w:rsidRDefault="00551FDB" w:rsidP="00551FDB">
      <w:pPr>
        <w:spacing w:after="0" w:line="240" w:lineRule="auto"/>
        <w:jc w:val="both"/>
        <w:rPr>
          <w:rFonts w:eastAsia="Times New Roman" w:cs="Times New Roman"/>
          <w:i/>
          <w:sz w:val="24"/>
          <w:szCs w:val="24"/>
          <w:lang w:val="en-US" w:eastAsia="en-US"/>
        </w:rPr>
      </w:pPr>
      <w:r>
        <w:rPr>
          <w:rFonts w:eastAsia="Times New Roman" w:cs="Times New Roman"/>
          <w:sz w:val="24"/>
          <w:szCs w:val="24"/>
          <w:lang w:val="en-US" w:eastAsia="en-US"/>
        </w:rPr>
        <w:t xml:space="preserve">Here comes the importance of research and development initiatives to address the critical degradation problems observed in the basin </w:t>
      </w:r>
      <w:r w:rsidR="00573A80">
        <w:rPr>
          <w:rFonts w:eastAsia="Times New Roman" w:cs="Times New Roman"/>
          <w:sz w:val="24"/>
          <w:szCs w:val="24"/>
          <w:lang w:val="en-US" w:eastAsia="en-US"/>
        </w:rPr>
        <w:t>through well-coordinated efforts</w:t>
      </w:r>
      <w:r>
        <w:rPr>
          <w:rFonts w:eastAsia="Times New Roman" w:cs="Times New Roman"/>
          <w:sz w:val="24"/>
          <w:szCs w:val="24"/>
          <w:lang w:val="en-US" w:eastAsia="en-US"/>
        </w:rPr>
        <w:t xml:space="preserve"> of the different stakeholders. Land and water management research recommendations, best practices, institutional innovations and planning tools are instrumental for sustainable development of the basin resources. It is due to these reasons that the NBDC </w:t>
      </w:r>
      <w:r w:rsidR="00ED4574">
        <w:rPr>
          <w:rFonts w:eastAsia="Times New Roman" w:cs="Times New Roman"/>
          <w:sz w:val="24"/>
          <w:szCs w:val="24"/>
          <w:lang w:val="en-US" w:eastAsia="en-US"/>
        </w:rPr>
        <w:t xml:space="preserve">together with the </w:t>
      </w:r>
      <w:proofErr w:type="spellStart"/>
      <w:r w:rsidR="00ED4574">
        <w:rPr>
          <w:rFonts w:eastAsia="Times New Roman" w:cs="Times New Roman"/>
          <w:sz w:val="24"/>
          <w:szCs w:val="24"/>
          <w:lang w:val="en-US" w:eastAsia="en-US"/>
        </w:rPr>
        <w:t>Abay</w:t>
      </w:r>
      <w:proofErr w:type="spellEnd"/>
      <w:r w:rsidR="00ED4574">
        <w:rPr>
          <w:rFonts w:eastAsia="Times New Roman" w:cs="Times New Roman"/>
          <w:sz w:val="24"/>
          <w:szCs w:val="24"/>
          <w:lang w:val="en-US" w:eastAsia="en-US"/>
        </w:rPr>
        <w:t xml:space="preserve"> Basin Development Authority, BOA, research institutions </w:t>
      </w:r>
      <w:proofErr w:type="spellStart"/>
      <w:r w:rsidR="00ED4574">
        <w:rPr>
          <w:rFonts w:eastAsia="Times New Roman" w:cs="Times New Roman"/>
          <w:sz w:val="24"/>
          <w:szCs w:val="24"/>
          <w:lang w:val="en-US" w:eastAsia="en-US"/>
        </w:rPr>
        <w:t>etc</w:t>
      </w:r>
      <w:proofErr w:type="spellEnd"/>
      <w:r w:rsidR="00ED4574">
        <w:rPr>
          <w:rFonts w:eastAsia="Times New Roman" w:cs="Times New Roman"/>
          <w:sz w:val="24"/>
          <w:szCs w:val="24"/>
          <w:lang w:val="en-US" w:eastAsia="en-US"/>
        </w:rPr>
        <w:t xml:space="preserve"> </w:t>
      </w:r>
      <w:r>
        <w:rPr>
          <w:rFonts w:eastAsia="Times New Roman" w:cs="Times New Roman"/>
          <w:sz w:val="24"/>
          <w:szCs w:val="24"/>
          <w:lang w:val="en-US" w:eastAsia="en-US"/>
        </w:rPr>
        <w:t>should take the lead to facilitate basin wide platform meeting to share experiences of the different stakeholders working in the basin</w:t>
      </w:r>
      <w:r w:rsidR="00323BE8">
        <w:rPr>
          <w:rFonts w:eastAsia="Times New Roman" w:cs="Times New Roman"/>
          <w:sz w:val="24"/>
          <w:szCs w:val="24"/>
          <w:lang w:val="en-US" w:eastAsia="en-US"/>
        </w:rPr>
        <w:t xml:space="preserve"> including findings and recommendation of NBDC.</w:t>
      </w:r>
    </w:p>
    <w:p w:rsidR="00551FDB" w:rsidRPr="00551FDB" w:rsidRDefault="00551FDB" w:rsidP="00551FDB">
      <w:pPr>
        <w:spacing w:after="0" w:line="240" w:lineRule="auto"/>
        <w:jc w:val="both"/>
        <w:rPr>
          <w:i/>
          <w:sz w:val="24"/>
          <w:szCs w:val="24"/>
        </w:rPr>
      </w:pPr>
      <w:bookmarkStart w:id="0" w:name="_GoBack"/>
      <w:bookmarkEnd w:id="0"/>
    </w:p>
    <w:p w:rsidR="00BA2ADD" w:rsidRPr="00551FDB" w:rsidRDefault="00E33F23" w:rsidP="00F114C1">
      <w:pPr>
        <w:rPr>
          <w:b/>
          <w:i/>
          <w:sz w:val="24"/>
          <w:szCs w:val="24"/>
        </w:rPr>
      </w:pPr>
      <w:r w:rsidRPr="00551FDB">
        <w:rPr>
          <w:b/>
          <w:i/>
          <w:sz w:val="24"/>
          <w:szCs w:val="24"/>
        </w:rPr>
        <w:t>Main strategic directions to be followed to influence policy and institutions:</w:t>
      </w:r>
    </w:p>
    <w:p w:rsidR="006F7ACB" w:rsidRDefault="006F7ACB" w:rsidP="00F114C1">
      <w:pPr>
        <w:rPr>
          <w:sz w:val="24"/>
          <w:szCs w:val="24"/>
        </w:rPr>
      </w:pPr>
      <w:r w:rsidRPr="00551FDB">
        <w:rPr>
          <w:i/>
          <w:sz w:val="24"/>
          <w:szCs w:val="24"/>
        </w:rPr>
        <w:t>Review of past efforts</w:t>
      </w:r>
      <w:r>
        <w:rPr>
          <w:sz w:val="24"/>
          <w:szCs w:val="24"/>
        </w:rPr>
        <w:t xml:space="preserve"> of NBDC:</w:t>
      </w:r>
    </w:p>
    <w:p w:rsidR="00E33F23" w:rsidRPr="002F1D39" w:rsidRDefault="00E33F23" w:rsidP="00F114C1">
      <w:pPr>
        <w:rPr>
          <w:sz w:val="24"/>
          <w:szCs w:val="24"/>
        </w:rPr>
      </w:pPr>
      <w:r w:rsidRPr="002F1D39">
        <w:rPr>
          <w:sz w:val="24"/>
          <w:szCs w:val="24"/>
        </w:rPr>
        <w:t>In</w:t>
      </w:r>
      <w:r w:rsidR="004C0438" w:rsidRPr="002F1D39">
        <w:rPr>
          <w:sz w:val="24"/>
          <w:szCs w:val="24"/>
        </w:rPr>
        <w:t xml:space="preserve"> or</w:t>
      </w:r>
      <w:r w:rsidRPr="002F1D39">
        <w:rPr>
          <w:sz w:val="24"/>
          <w:szCs w:val="24"/>
        </w:rPr>
        <w:t xml:space="preserve">der </w:t>
      </w:r>
      <w:r w:rsidR="004C0438" w:rsidRPr="002F1D39">
        <w:rPr>
          <w:sz w:val="24"/>
          <w:szCs w:val="24"/>
        </w:rPr>
        <w:t>to find</w:t>
      </w:r>
      <w:r w:rsidRPr="002F1D39">
        <w:rPr>
          <w:sz w:val="24"/>
          <w:szCs w:val="24"/>
        </w:rPr>
        <w:t xml:space="preserve"> out major strategic directions and work plan for the remaining one year of the project, the national consultant consulted </w:t>
      </w:r>
      <w:r w:rsidR="004C0438" w:rsidRPr="002F1D39">
        <w:rPr>
          <w:sz w:val="24"/>
          <w:szCs w:val="24"/>
        </w:rPr>
        <w:t>previous</w:t>
      </w:r>
      <w:r w:rsidRPr="002F1D39">
        <w:rPr>
          <w:sz w:val="24"/>
          <w:szCs w:val="24"/>
        </w:rPr>
        <w:t xml:space="preserve"> works of the NBDC</w:t>
      </w:r>
      <w:r w:rsidR="003E6629" w:rsidRPr="002F1D39">
        <w:rPr>
          <w:sz w:val="24"/>
          <w:szCs w:val="24"/>
        </w:rPr>
        <w:t xml:space="preserve"> </w:t>
      </w:r>
      <w:proofErr w:type="gramStart"/>
      <w:r w:rsidR="003E6629" w:rsidRPr="002F1D39">
        <w:rPr>
          <w:sz w:val="24"/>
          <w:szCs w:val="24"/>
        </w:rPr>
        <w:t>( Doug</w:t>
      </w:r>
      <w:proofErr w:type="gramEnd"/>
      <w:r w:rsidR="003E6629" w:rsidRPr="002F1D39">
        <w:rPr>
          <w:sz w:val="24"/>
          <w:szCs w:val="24"/>
        </w:rPr>
        <w:t xml:space="preserve"> Merry and </w:t>
      </w:r>
      <w:proofErr w:type="spellStart"/>
      <w:r w:rsidR="003E6629" w:rsidRPr="002F1D39">
        <w:rPr>
          <w:sz w:val="24"/>
          <w:szCs w:val="24"/>
        </w:rPr>
        <w:lastRenderedPageBreak/>
        <w:t>Tadele</w:t>
      </w:r>
      <w:proofErr w:type="spellEnd"/>
      <w:r w:rsidR="003E6629" w:rsidRPr="002F1D39">
        <w:rPr>
          <w:sz w:val="24"/>
          <w:szCs w:val="24"/>
        </w:rPr>
        <w:t>- review document, Ethiopian Economic association policy review document)</w:t>
      </w:r>
      <w:r w:rsidR="004C0438" w:rsidRPr="002F1D39">
        <w:rPr>
          <w:sz w:val="24"/>
          <w:szCs w:val="24"/>
        </w:rPr>
        <w:t xml:space="preserve"> and minutes of the national platform meetings. As reviewed, most of the documents indicate the planning process and future plan of the project. </w:t>
      </w:r>
      <w:r w:rsidR="00802E0C" w:rsidRPr="002F1D39">
        <w:rPr>
          <w:sz w:val="24"/>
          <w:szCs w:val="24"/>
        </w:rPr>
        <w:t>As to my understanding, t</w:t>
      </w:r>
      <w:r w:rsidR="004C0438" w:rsidRPr="002F1D39">
        <w:rPr>
          <w:sz w:val="24"/>
          <w:szCs w:val="24"/>
        </w:rPr>
        <w:t xml:space="preserve">here is no as such </w:t>
      </w:r>
      <w:r w:rsidR="00802E0C" w:rsidRPr="002F1D39">
        <w:rPr>
          <w:sz w:val="24"/>
          <w:szCs w:val="24"/>
        </w:rPr>
        <w:t xml:space="preserve">project </w:t>
      </w:r>
      <w:r w:rsidR="004C0438" w:rsidRPr="002F1D39">
        <w:rPr>
          <w:sz w:val="24"/>
          <w:szCs w:val="24"/>
        </w:rPr>
        <w:t>research recommendations</w:t>
      </w:r>
      <w:r w:rsidR="00802E0C" w:rsidRPr="002F1D39">
        <w:rPr>
          <w:sz w:val="24"/>
          <w:szCs w:val="24"/>
        </w:rPr>
        <w:t>/products</w:t>
      </w:r>
      <w:r w:rsidR="004C0438" w:rsidRPr="002F1D39">
        <w:rPr>
          <w:sz w:val="24"/>
          <w:szCs w:val="24"/>
        </w:rPr>
        <w:t xml:space="preserve"> presented at the national platform meetings for experience sharing and influencing policy and institutions at national </w:t>
      </w:r>
      <w:r w:rsidR="003E6629" w:rsidRPr="002F1D39">
        <w:rPr>
          <w:sz w:val="24"/>
          <w:szCs w:val="24"/>
        </w:rPr>
        <w:t xml:space="preserve">and regional </w:t>
      </w:r>
      <w:r w:rsidR="004C0438" w:rsidRPr="002F1D39">
        <w:rPr>
          <w:sz w:val="24"/>
          <w:szCs w:val="24"/>
        </w:rPr>
        <w:t>level</w:t>
      </w:r>
      <w:r w:rsidR="003E6629" w:rsidRPr="002F1D39">
        <w:rPr>
          <w:sz w:val="24"/>
          <w:szCs w:val="24"/>
        </w:rPr>
        <w:t>s</w:t>
      </w:r>
      <w:r w:rsidR="004C0438" w:rsidRPr="002F1D39">
        <w:rPr>
          <w:sz w:val="24"/>
          <w:szCs w:val="24"/>
        </w:rPr>
        <w:t xml:space="preserve">. </w:t>
      </w:r>
      <w:r w:rsidR="000F4E0D" w:rsidRPr="002F1D39">
        <w:rPr>
          <w:sz w:val="24"/>
          <w:szCs w:val="24"/>
        </w:rPr>
        <w:t>So, thi</w:t>
      </w:r>
      <w:r w:rsidR="003E6629" w:rsidRPr="002F1D39">
        <w:rPr>
          <w:sz w:val="24"/>
          <w:szCs w:val="24"/>
        </w:rPr>
        <w:t xml:space="preserve">s year efforts of NBDC should target to finalize started research activities and </w:t>
      </w:r>
      <w:r w:rsidR="000F4E0D" w:rsidRPr="002F1D39">
        <w:rPr>
          <w:sz w:val="24"/>
          <w:szCs w:val="24"/>
        </w:rPr>
        <w:t>package research results, recommendations,</w:t>
      </w:r>
      <w:r w:rsidR="00802E0C" w:rsidRPr="002F1D39">
        <w:rPr>
          <w:sz w:val="24"/>
          <w:szCs w:val="24"/>
        </w:rPr>
        <w:t xml:space="preserve"> institutional innovations, improved practices, technological innovations,</w:t>
      </w:r>
      <w:r w:rsidR="000F4E0D" w:rsidRPr="002F1D39">
        <w:rPr>
          <w:sz w:val="24"/>
          <w:szCs w:val="24"/>
        </w:rPr>
        <w:t xml:space="preserve"> process and tools of the different </w:t>
      </w:r>
      <w:r w:rsidR="003E6629" w:rsidRPr="002F1D39">
        <w:rPr>
          <w:sz w:val="24"/>
          <w:szCs w:val="24"/>
        </w:rPr>
        <w:t>projects as</w:t>
      </w:r>
      <w:r w:rsidR="000F4E0D" w:rsidRPr="002F1D39">
        <w:rPr>
          <w:sz w:val="24"/>
          <w:szCs w:val="24"/>
        </w:rPr>
        <w:t xml:space="preserve"> “one NBDC</w:t>
      </w:r>
      <w:r w:rsidR="003E6629" w:rsidRPr="002F1D39">
        <w:rPr>
          <w:sz w:val="24"/>
          <w:szCs w:val="24"/>
        </w:rPr>
        <w:t>” and</w:t>
      </w:r>
      <w:r w:rsidR="000F4E0D" w:rsidRPr="002F1D39">
        <w:rPr>
          <w:sz w:val="24"/>
          <w:szCs w:val="24"/>
        </w:rPr>
        <w:t xml:space="preserve"> share </w:t>
      </w:r>
      <w:r w:rsidR="00FC5815">
        <w:rPr>
          <w:sz w:val="24"/>
          <w:szCs w:val="24"/>
        </w:rPr>
        <w:t>with</w:t>
      </w:r>
      <w:r w:rsidR="00FC5815" w:rsidRPr="002F1D39">
        <w:rPr>
          <w:sz w:val="24"/>
          <w:szCs w:val="24"/>
        </w:rPr>
        <w:t xml:space="preserve"> </w:t>
      </w:r>
      <w:r w:rsidR="000F4E0D" w:rsidRPr="002F1D39">
        <w:rPr>
          <w:sz w:val="24"/>
          <w:szCs w:val="24"/>
        </w:rPr>
        <w:t>all stakeholders</w:t>
      </w:r>
      <w:r w:rsidR="009341AA">
        <w:rPr>
          <w:sz w:val="24"/>
          <w:szCs w:val="24"/>
        </w:rPr>
        <w:t xml:space="preserve"> including farmers, planners, politicians, policy makers, researchers </w:t>
      </w:r>
      <w:proofErr w:type="spellStart"/>
      <w:r w:rsidR="009341AA">
        <w:rPr>
          <w:sz w:val="24"/>
          <w:szCs w:val="24"/>
        </w:rPr>
        <w:t>etc</w:t>
      </w:r>
      <w:proofErr w:type="spellEnd"/>
      <w:r w:rsidR="000F4E0D" w:rsidRPr="002F1D39">
        <w:rPr>
          <w:sz w:val="24"/>
          <w:szCs w:val="24"/>
        </w:rPr>
        <w:t xml:space="preserve"> </w:t>
      </w:r>
      <w:r w:rsidR="009341AA">
        <w:rPr>
          <w:sz w:val="24"/>
          <w:szCs w:val="24"/>
        </w:rPr>
        <w:t xml:space="preserve">, </w:t>
      </w:r>
      <w:r w:rsidR="000F4E0D" w:rsidRPr="002F1D39">
        <w:rPr>
          <w:sz w:val="24"/>
          <w:szCs w:val="24"/>
        </w:rPr>
        <w:t xml:space="preserve">through the national platform meetings and other dissemination mechanisms. The strategic direction points and activities of the year </w:t>
      </w:r>
      <w:r w:rsidR="00802E0C" w:rsidRPr="002F1D39">
        <w:rPr>
          <w:sz w:val="24"/>
          <w:szCs w:val="24"/>
        </w:rPr>
        <w:t>presented here,</w:t>
      </w:r>
      <w:r w:rsidR="003E6629" w:rsidRPr="002F1D39">
        <w:rPr>
          <w:sz w:val="24"/>
          <w:szCs w:val="24"/>
        </w:rPr>
        <w:t xml:space="preserve"> emanates</w:t>
      </w:r>
      <w:r w:rsidR="000F4E0D" w:rsidRPr="002F1D39">
        <w:rPr>
          <w:sz w:val="24"/>
          <w:szCs w:val="24"/>
        </w:rPr>
        <w:t xml:space="preserve"> from this </w:t>
      </w:r>
      <w:r w:rsidR="003E6629" w:rsidRPr="002F1D39">
        <w:rPr>
          <w:sz w:val="24"/>
          <w:szCs w:val="24"/>
        </w:rPr>
        <w:t xml:space="preserve">reality and </w:t>
      </w:r>
      <w:r w:rsidR="000F4E0D" w:rsidRPr="002F1D39">
        <w:rPr>
          <w:sz w:val="24"/>
          <w:szCs w:val="24"/>
        </w:rPr>
        <w:t>background information.</w:t>
      </w:r>
      <w:r w:rsidRPr="002F1D39">
        <w:rPr>
          <w:sz w:val="24"/>
          <w:szCs w:val="24"/>
        </w:rPr>
        <w:t xml:space="preserve"> </w:t>
      </w:r>
    </w:p>
    <w:p w:rsidR="0011219E" w:rsidRPr="002F1D39" w:rsidRDefault="00BA2ADD" w:rsidP="0011219E">
      <w:pPr>
        <w:rPr>
          <w:sz w:val="24"/>
          <w:szCs w:val="24"/>
        </w:rPr>
      </w:pPr>
      <w:r w:rsidRPr="002F1D39">
        <w:rPr>
          <w:sz w:val="24"/>
          <w:szCs w:val="24"/>
        </w:rPr>
        <w:t xml:space="preserve">The main strategic directions to be followed to influence policy and </w:t>
      </w:r>
      <w:r w:rsidR="00EC6454" w:rsidRPr="002F1D39">
        <w:rPr>
          <w:sz w:val="24"/>
          <w:szCs w:val="24"/>
        </w:rPr>
        <w:t>an institution in the remaining one year of the project needs</w:t>
      </w:r>
      <w:r w:rsidR="006900DC" w:rsidRPr="002F1D39">
        <w:rPr>
          <w:sz w:val="24"/>
          <w:szCs w:val="24"/>
        </w:rPr>
        <w:t xml:space="preserve"> to f</w:t>
      </w:r>
      <w:r w:rsidR="0011219E" w:rsidRPr="002F1D39">
        <w:rPr>
          <w:sz w:val="24"/>
          <w:szCs w:val="24"/>
        </w:rPr>
        <w:t xml:space="preserve">ollow a dual approach: </w:t>
      </w:r>
      <w:r w:rsidR="00EC6454" w:rsidRPr="002F1D39">
        <w:rPr>
          <w:sz w:val="24"/>
          <w:szCs w:val="24"/>
        </w:rPr>
        <w:t>the d</w:t>
      </w:r>
      <w:r w:rsidR="0011219E" w:rsidRPr="002F1D39">
        <w:rPr>
          <w:sz w:val="24"/>
          <w:szCs w:val="24"/>
        </w:rPr>
        <w:t>emand and supply side</w:t>
      </w:r>
      <w:r w:rsidR="006900DC" w:rsidRPr="002F1D39">
        <w:rPr>
          <w:sz w:val="24"/>
          <w:szCs w:val="24"/>
        </w:rPr>
        <w:t>.</w:t>
      </w:r>
    </w:p>
    <w:p w:rsidR="0011219E" w:rsidRPr="002F1D39" w:rsidRDefault="0011219E" w:rsidP="006900DC">
      <w:pPr>
        <w:pStyle w:val="ListParagraph"/>
        <w:numPr>
          <w:ilvl w:val="0"/>
          <w:numId w:val="11"/>
        </w:numPr>
        <w:rPr>
          <w:sz w:val="24"/>
          <w:szCs w:val="24"/>
        </w:rPr>
      </w:pPr>
      <w:r w:rsidRPr="002F1D39">
        <w:rPr>
          <w:b/>
          <w:sz w:val="24"/>
          <w:szCs w:val="24"/>
        </w:rPr>
        <w:t>Demand side</w:t>
      </w:r>
      <w:r w:rsidRPr="002F1D39">
        <w:rPr>
          <w:sz w:val="24"/>
          <w:szCs w:val="24"/>
        </w:rPr>
        <w:t>:</w:t>
      </w:r>
      <w:r w:rsidR="003325E5" w:rsidRPr="002F1D39">
        <w:rPr>
          <w:sz w:val="24"/>
          <w:szCs w:val="24"/>
        </w:rPr>
        <w:t xml:space="preserve"> The national consultant to take the lead</w:t>
      </w:r>
    </w:p>
    <w:p w:rsidR="0011219E" w:rsidRPr="002F1D39" w:rsidRDefault="0011219E" w:rsidP="0011219E">
      <w:pPr>
        <w:pStyle w:val="ListParagraph"/>
        <w:numPr>
          <w:ilvl w:val="0"/>
          <w:numId w:val="5"/>
        </w:numPr>
        <w:rPr>
          <w:sz w:val="24"/>
          <w:szCs w:val="24"/>
        </w:rPr>
      </w:pPr>
      <w:r w:rsidRPr="002F1D39">
        <w:rPr>
          <w:sz w:val="24"/>
          <w:szCs w:val="24"/>
        </w:rPr>
        <w:t>Consult policy makers at MOA</w:t>
      </w:r>
      <w:r w:rsidR="00653BB4" w:rsidRPr="002F1D39">
        <w:rPr>
          <w:sz w:val="24"/>
          <w:szCs w:val="24"/>
        </w:rPr>
        <w:t xml:space="preserve"> </w:t>
      </w:r>
      <w:r w:rsidR="00D71190" w:rsidRPr="002F1D39">
        <w:rPr>
          <w:sz w:val="24"/>
          <w:szCs w:val="24"/>
        </w:rPr>
        <w:t>(state</w:t>
      </w:r>
      <w:r w:rsidR="00802E0C" w:rsidRPr="002F1D39">
        <w:rPr>
          <w:sz w:val="24"/>
          <w:szCs w:val="24"/>
        </w:rPr>
        <w:t xml:space="preserve"> minister level)</w:t>
      </w:r>
      <w:r w:rsidRPr="002F1D39">
        <w:rPr>
          <w:sz w:val="24"/>
          <w:szCs w:val="24"/>
        </w:rPr>
        <w:t xml:space="preserve"> and </w:t>
      </w:r>
      <w:r w:rsidR="00D71190" w:rsidRPr="002F1D39">
        <w:rPr>
          <w:sz w:val="24"/>
          <w:szCs w:val="24"/>
        </w:rPr>
        <w:t>MOWE (state</w:t>
      </w:r>
      <w:r w:rsidR="00802E0C" w:rsidRPr="002F1D39">
        <w:rPr>
          <w:sz w:val="24"/>
          <w:szCs w:val="24"/>
        </w:rPr>
        <w:t xml:space="preserve"> minister level-Simon to suggest name) in the presence of Alan and Simon if </w:t>
      </w:r>
      <w:r w:rsidR="00D71190" w:rsidRPr="002F1D39">
        <w:rPr>
          <w:sz w:val="24"/>
          <w:szCs w:val="24"/>
        </w:rPr>
        <w:t>possible</w:t>
      </w:r>
      <w:r w:rsidR="00802E0C" w:rsidRPr="002F1D39">
        <w:rPr>
          <w:sz w:val="24"/>
          <w:szCs w:val="24"/>
        </w:rPr>
        <w:t>.</w:t>
      </w:r>
      <w:r w:rsidRPr="002F1D39">
        <w:rPr>
          <w:sz w:val="24"/>
          <w:szCs w:val="24"/>
        </w:rPr>
        <w:t xml:space="preserve"> </w:t>
      </w:r>
    </w:p>
    <w:p w:rsidR="0011219E" w:rsidRPr="002F1D39" w:rsidRDefault="0011219E" w:rsidP="0011219E">
      <w:pPr>
        <w:pStyle w:val="ListParagraph"/>
        <w:numPr>
          <w:ilvl w:val="0"/>
          <w:numId w:val="5"/>
        </w:numPr>
        <w:rPr>
          <w:sz w:val="24"/>
          <w:szCs w:val="24"/>
        </w:rPr>
      </w:pPr>
      <w:r w:rsidRPr="002F1D39">
        <w:rPr>
          <w:sz w:val="24"/>
          <w:szCs w:val="24"/>
        </w:rPr>
        <w:t xml:space="preserve">Explore opportunities on how to work together with the national and regional levels platforms already established through MOA and BOA </w:t>
      </w:r>
      <w:r w:rsidR="00701AAC">
        <w:rPr>
          <w:sz w:val="24"/>
          <w:szCs w:val="24"/>
        </w:rPr>
        <w:t>(</w:t>
      </w:r>
      <w:r w:rsidRPr="002F1D39">
        <w:rPr>
          <w:sz w:val="24"/>
          <w:szCs w:val="24"/>
        </w:rPr>
        <w:t>including SLM</w:t>
      </w:r>
      <w:r w:rsidR="00701AAC">
        <w:rPr>
          <w:sz w:val="24"/>
          <w:szCs w:val="24"/>
        </w:rPr>
        <w:t>)</w:t>
      </w:r>
      <w:r w:rsidRPr="002F1D39">
        <w:rPr>
          <w:sz w:val="24"/>
          <w:szCs w:val="24"/>
        </w:rPr>
        <w:t xml:space="preserve"> and</w:t>
      </w:r>
      <w:r w:rsidR="00701AAC">
        <w:rPr>
          <w:sz w:val="24"/>
          <w:szCs w:val="24"/>
        </w:rPr>
        <w:t xml:space="preserve"> through (?) </w:t>
      </w:r>
      <w:r w:rsidRPr="002F1D39">
        <w:rPr>
          <w:sz w:val="24"/>
          <w:szCs w:val="24"/>
        </w:rPr>
        <w:t xml:space="preserve">MOWE </w:t>
      </w:r>
    </w:p>
    <w:p w:rsidR="0011219E" w:rsidRPr="002F1D39" w:rsidRDefault="0011219E" w:rsidP="0011219E">
      <w:pPr>
        <w:pStyle w:val="ListParagraph"/>
        <w:numPr>
          <w:ilvl w:val="0"/>
          <w:numId w:val="5"/>
        </w:numPr>
        <w:rPr>
          <w:sz w:val="24"/>
          <w:szCs w:val="24"/>
        </w:rPr>
      </w:pPr>
      <w:r w:rsidRPr="002F1D39">
        <w:rPr>
          <w:sz w:val="24"/>
          <w:szCs w:val="24"/>
        </w:rPr>
        <w:t xml:space="preserve">Learn how </w:t>
      </w:r>
      <w:r w:rsidR="009341AA">
        <w:rPr>
          <w:sz w:val="24"/>
          <w:szCs w:val="24"/>
        </w:rPr>
        <w:t xml:space="preserve">RED/FS platform, </w:t>
      </w:r>
      <w:r w:rsidRPr="002F1D39">
        <w:rPr>
          <w:sz w:val="24"/>
          <w:szCs w:val="24"/>
        </w:rPr>
        <w:t xml:space="preserve">the SLM </w:t>
      </w:r>
      <w:r w:rsidR="009341AA">
        <w:rPr>
          <w:sz w:val="24"/>
          <w:szCs w:val="24"/>
        </w:rPr>
        <w:t>technical committee</w:t>
      </w:r>
      <w:r w:rsidR="009341AA" w:rsidRPr="002F1D39">
        <w:rPr>
          <w:sz w:val="24"/>
          <w:szCs w:val="24"/>
        </w:rPr>
        <w:t xml:space="preserve"> </w:t>
      </w:r>
      <w:r w:rsidRPr="002F1D39">
        <w:rPr>
          <w:sz w:val="24"/>
          <w:szCs w:val="24"/>
        </w:rPr>
        <w:t>and ADPLAC are functioning at national and regional level</w:t>
      </w:r>
      <w:r w:rsidR="00802E0C" w:rsidRPr="002F1D39">
        <w:rPr>
          <w:sz w:val="24"/>
          <w:szCs w:val="24"/>
        </w:rPr>
        <w:t xml:space="preserve">- SWOT—Include the Water and Land resource centre (Dr </w:t>
      </w:r>
      <w:proofErr w:type="spellStart"/>
      <w:r w:rsidR="00802E0C" w:rsidRPr="002F1D39">
        <w:rPr>
          <w:sz w:val="24"/>
          <w:szCs w:val="24"/>
        </w:rPr>
        <w:t>Gete</w:t>
      </w:r>
      <w:proofErr w:type="spellEnd"/>
      <w:r w:rsidR="00802E0C" w:rsidRPr="002F1D39">
        <w:rPr>
          <w:sz w:val="24"/>
          <w:szCs w:val="24"/>
        </w:rPr>
        <w:t>)</w:t>
      </w:r>
    </w:p>
    <w:p w:rsidR="0011219E" w:rsidRPr="002F1D39" w:rsidRDefault="0011219E" w:rsidP="0011219E">
      <w:pPr>
        <w:pStyle w:val="ListParagraph"/>
        <w:numPr>
          <w:ilvl w:val="0"/>
          <w:numId w:val="5"/>
        </w:numPr>
        <w:rPr>
          <w:sz w:val="24"/>
          <w:szCs w:val="24"/>
        </w:rPr>
      </w:pPr>
      <w:r w:rsidRPr="002F1D39">
        <w:rPr>
          <w:sz w:val="24"/>
          <w:szCs w:val="24"/>
        </w:rPr>
        <w:t xml:space="preserve">Explore factors contributing for the sustainability of the </w:t>
      </w:r>
      <w:r w:rsidR="00701AAC">
        <w:rPr>
          <w:sz w:val="24"/>
          <w:szCs w:val="24"/>
        </w:rPr>
        <w:t xml:space="preserve">above mentioned </w:t>
      </w:r>
      <w:r w:rsidRPr="002F1D39">
        <w:rPr>
          <w:sz w:val="24"/>
          <w:szCs w:val="24"/>
        </w:rPr>
        <w:t xml:space="preserve">platforms- institutional leadership, source of funding,  </w:t>
      </w:r>
      <w:proofErr w:type="spellStart"/>
      <w:r w:rsidRPr="002F1D39">
        <w:rPr>
          <w:sz w:val="24"/>
          <w:szCs w:val="24"/>
        </w:rPr>
        <w:t>etc</w:t>
      </w:r>
      <w:proofErr w:type="spellEnd"/>
    </w:p>
    <w:p w:rsidR="0011219E" w:rsidRPr="002F1D39" w:rsidRDefault="0011219E" w:rsidP="0011219E">
      <w:pPr>
        <w:pStyle w:val="ListParagraph"/>
        <w:numPr>
          <w:ilvl w:val="0"/>
          <w:numId w:val="5"/>
        </w:numPr>
        <w:rPr>
          <w:sz w:val="24"/>
          <w:szCs w:val="24"/>
        </w:rPr>
      </w:pPr>
      <w:r w:rsidRPr="002F1D39">
        <w:rPr>
          <w:sz w:val="24"/>
          <w:szCs w:val="24"/>
        </w:rPr>
        <w:t>What do policy makers like to see/get from platforms and projects like NBDC?</w:t>
      </w:r>
    </w:p>
    <w:p w:rsidR="00802E0C" w:rsidRPr="002F1D39" w:rsidRDefault="0011219E" w:rsidP="0011219E">
      <w:pPr>
        <w:pStyle w:val="ListParagraph"/>
        <w:numPr>
          <w:ilvl w:val="0"/>
          <w:numId w:val="5"/>
        </w:numPr>
        <w:rPr>
          <w:sz w:val="24"/>
          <w:szCs w:val="24"/>
        </w:rPr>
      </w:pPr>
      <w:r w:rsidRPr="002F1D39">
        <w:rPr>
          <w:sz w:val="24"/>
          <w:szCs w:val="24"/>
        </w:rPr>
        <w:t>To lo</w:t>
      </w:r>
      <w:r w:rsidR="00802E0C" w:rsidRPr="002F1D39">
        <w:rPr>
          <w:sz w:val="24"/>
          <w:szCs w:val="24"/>
        </w:rPr>
        <w:t xml:space="preserve">ok for political champions: </w:t>
      </w:r>
    </w:p>
    <w:p w:rsidR="00802E0C" w:rsidRPr="002F1D39" w:rsidRDefault="0011219E" w:rsidP="00653BB4">
      <w:pPr>
        <w:pStyle w:val="ListParagraph"/>
        <w:numPr>
          <w:ilvl w:val="0"/>
          <w:numId w:val="9"/>
        </w:numPr>
        <w:rPr>
          <w:sz w:val="24"/>
          <w:szCs w:val="24"/>
        </w:rPr>
      </w:pPr>
      <w:proofErr w:type="spellStart"/>
      <w:r w:rsidRPr="002F1D39">
        <w:rPr>
          <w:sz w:val="24"/>
          <w:szCs w:val="24"/>
        </w:rPr>
        <w:t>Wondowossen</w:t>
      </w:r>
      <w:proofErr w:type="spellEnd"/>
      <w:r w:rsidRPr="002F1D39">
        <w:rPr>
          <w:sz w:val="24"/>
          <w:szCs w:val="24"/>
        </w:rPr>
        <w:t xml:space="preserve"> of </w:t>
      </w:r>
      <w:proofErr w:type="spellStart"/>
      <w:r w:rsidRPr="002F1D39">
        <w:rPr>
          <w:sz w:val="24"/>
          <w:szCs w:val="24"/>
        </w:rPr>
        <w:t>Naile</w:t>
      </w:r>
      <w:proofErr w:type="spellEnd"/>
      <w:r w:rsidRPr="002F1D39">
        <w:rPr>
          <w:sz w:val="24"/>
          <w:szCs w:val="24"/>
        </w:rPr>
        <w:t xml:space="preserve"> basin development Authority based in </w:t>
      </w:r>
      <w:proofErr w:type="spellStart"/>
      <w:r w:rsidRPr="002F1D39">
        <w:rPr>
          <w:sz w:val="24"/>
          <w:szCs w:val="24"/>
        </w:rPr>
        <w:t>Ba</w:t>
      </w:r>
      <w:r w:rsidR="00701AAC">
        <w:rPr>
          <w:sz w:val="24"/>
          <w:szCs w:val="24"/>
        </w:rPr>
        <w:t>h</w:t>
      </w:r>
      <w:r w:rsidRPr="002F1D39">
        <w:rPr>
          <w:sz w:val="24"/>
          <w:szCs w:val="24"/>
        </w:rPr>
        <w:t>ir</w:t>
      </w:r>
      <w:proofErr w:type="spellEnd"/>
      <w:r w:rsidRPr="002F1D39">
        <w:rPr>
          <w:sz w:val="24"/>
          <w:szCs w:val="24"/>
        </w:rPr>
        <w:t xml:space="preserve"> Dar </w:t>
      </w:r>
    </w:p>
    <w:p w:rsidR="00802E0C" w:rsidRPr="002F1D39" w:rsidRDefault="0011219E" w:rsidP="00653BB4">
      <w:pPr>
        <w:pStyle w:val="ListParagraph"/>
        <w:numPr>
          <w:ilvl w:val="0"/>
          <w:numId w:val="9"/>
        </w:numPr>
        <w:rPr>
          <w:sz w:val="24"/>
          <w:szCs w:val="24"/>
        </w:rPr>
      </w:pPr>
      <w:r w:rsidRPr="002F1D39">
        <w:rPr>
          <w:sz w:val="24"/>
          <w:szCs w:val="24"/>
        </w:rPr>
        <w:t xml:space="preserve">H.E </w:t>
      </w:r>
      <w:proofErr w:type="spellStart"/>
      <w:r w:rsidRPr="002F1D39">
        <w:rPr>
          <w:sz w:val="24"/>
          <w:szCs w:val="24"/>
        </w:rPr>
        <w:t>Ato</w:t>
      </w:r>
      <w:proofErr w:type="spellEnd"/>
      <w:r w:rsidR="00653BB4" w:rsidRPr="002F1D39">
        <w:rPr>
          <w:sz w:val="24"/>
          <w:szCs w:val="24"/>
        </w:rPr>
        <w:t xml:space="preserve"> </w:t>
      </w:r>
      <w:proofErr w:type="spellStart"/>
      <w:r w:rsidR="00653BB4" w:rsidRPr="002F1D39">
        <w:rPr>
          <w:sz w:val="24"/>
          <w:szCs w:val="24"/>
        </w:rPr>
        <w:t>Seleshi</w:t>
      </w:r>
      <w:proofErr w:type="spellEnd"/>
      <w:r w:rsidR="00653BB4" w:rsidRPr="002F1D39">
        <w:rPr>
          <w:sz w:val="24"/>
          <w:szCs w:val="24"/>
        </w:rPr>
        <w:t>- state minister – MOA,</w:t>
      </w:r>
    </w:p>
    <w:p w:rsidR="00653BB4" w:rsidRPr="002F1D39" w:rsidRDefault="00653BB4" w:rsidP="00653BB4">
      <w:pPr>
        <w:pStyle w:val="ListParagraph"/>
        <w:numPr>
          <w:ilvl w:val="0"/>
          <w:numId w:val="9"/>
        </w:numPr>
        <w:rPr>
          <w:sz w:val="24"/>
          <w:szCs w:val="24"/>
        </w:rPr>
      </w:pPr>
      <w:r w:rsidRPr="002F1D39">
        <w:rPr>
          <w:sz w:val="24"/>
          <w:szCs w:val="24"/>
        </w:rPr>
        <w:t>High level person from MOWE? TBD</w:t>
      </w:r>
    </w:p>
    <w:p w:rsidR="00802E0C" w:rsidRPr="002F1D39" w:rsidRDefault="00802E0C" w:rsidP="00653BB4">
      <w:pPr>
        <w:pStyle w:val="ListParagraph"/>
        <w:numPr>
          <w:ilvl w:val="0"/>
          <w:numId w:val="9"/>
        </w:numPr>
        <w:rPr>
          <w:sz w:val="24"/>
          <w:szCs w:val="24"/>
        </w:rPr>
      </w:pPr>
      <w:proofErr w:type="spellStart"/>
      <w:r w:rsidRPr="002F1D39">
        <w:rPr>
          <w:sz w:val="24"/>
          <w:szCs w:val="24"/>
        </w:rPr>
        <w:t>Ato</w:t>
      </w:r>
      <w:proofErr w:type="spellEnd"/>
      <w:r w:rsidRPr="002F1D39">
        <w:rPr>
          <w:sz w:val="24"/>
          <w:szCs w:val="24"/>
        </w:rPr>
        <w:t xml:space="preserve"> </w:t>
      </w:r>
      <w:proofErr w:type="spellStart"/>
      <w:r w:rsidRPr="002F1D39">
        <w:rPr>
          <w:sz w:val="24"/>
          <w:szCs w:val="24"/>
        </w:rPr>
        <w:t>Gedu</w:t>
      </w:r>
      <w:proofErr w:type="spellEnd"/>
      <w:r w:rsidRPr="002F1D39">
        <w:rPr>
          <w:sz w:val="24"/>
          <w:szCs w:val="24"/>
        </w:rPr>
        <w:t xml:space="preserve"> of BOA- </w:t>
      </w:r>
      <w:proofErr w:type="spellStart"/>
      <w:r w:rsidRPr="002F1D39">
        <w:rPr>
          <w:sz w:val="24"/>
          <w:szCs w:val="24"/>
        </w:rPr>
        <w:t>Bahir</w:t>
      </w:r>
      <w:proofErr w:type="spellEnd"/>
      <w:r w:rsidRPr="002F1D39">
        <w:rPr>
          <w:sz w:val="24"/>
          <w:szCs w:val="24"/>
        </w:rPr>
        <w:t xml:space="preserve"> Dar </w:t>
      </w:r>
    </w:p>
    <w:p w:rsidR="0011219E" w:rsidRPr="002F1D39" w:rsidRDefault="00802E0C" w:rsidP="00653BB4">
      <w:pPr>
        <w:pStyle w:val="ListParagraph"/>
        <w:numPr>
          <w:ilvl w:val="0"/>
          <w:numId w:val="9"/>
        </w:numPr>
        <w:rPr>
          <w:sz w:val="24"/>
          <w:szCs w:val="24"/>
        </w:rPr>
      </w:pPr>
      <w:r w:rsidRPr="002F1D39">
        <w:rPr>
          <w:sz w:val="24"/>
          <w:szCs w:val="24"/>
        </w:rPr>
        <w:t xml:space="preserve">Look for the people from </w:t>
      </w:r>
      <w:proofErr w:type="spellStart"/>
      <w:r w:rsidRPr="002F1D39">
        <w:rPr>
          <w:sz w:val="24"/>
          <w:szCs w:val="24"/>
        </w:rPr>
        <w:t>Oromiya</w:t>
      </w:r>
      <w:proofErr w:type="spellEnd"/>
      <w:r w:rsidRPr="002F1D39">
        <w:rPr>
          <w:sz w:val="24"/>
          <w:szCs w:val="24"/>
        </w:rPr>
        <w:t xml:space="preserve"> and </w:t>
      </w:r>
      <w:proofErr w:type="spellStart"/>
      <w:r w:rsidRPr="002F1D39">
        <w:rPr>
          <w:sz w:val="24"/>
          <w:szCs w:val="24"/>
        </w:rPr>
        <w:t>Benishangul</w:t>
      </w:r>
      <w:proofErr w:type="spellEnd"/>
      <w:r w:rsidRPr="002F1D39">
        <w:rPr>
          <w:sz w:val="24"/>
          <w:szCs w:val="24"/>
        </w:rPr>
        <w:t xml:space="preserve"> </w:t>
      </w:r>
      <w:proofErr w:type="spellStart"/>
      <w:r w:rsidRPr="002F1D39">
        <w:rPr>
          <w:sz w:val="24"/>
          <w:szCs w:val="24"/>
        </w:rPr>
        <w:t>Gumz</w:t>
      </w:r>
      <w:proofErr w:type="spellEnd"/>
    </w:p>
    <w:p w:rsidR="0011219E" w:rsidRPr="002F1D39" w:rsidRDefault="0011219E" w:rsidP="00653BB4">
      <w:pPr>
        <w:pStyle w:val="ListParagraph"/>
        <w:numPr>
          <w:ilvl w:val="0"/>
          <w:numId w:val="5"/>
        </w:numPr>
        <w:rPr>
          <w:sz w:val="24"/>
          <w:szCs w:val="24"/>
        </w:rPr>
      </w:pPr>
      <w:r w:rsidRPr="002F1D39">
        <w:rPr>
          <w:sz w:val="24"/>
          <w:szCs w:val="24"/>
        </w:rPr>
        <w:t>Institutions to be consulted:</w:t>
      </w:r>
    </w:p>
    <w:p w:rsidR="0011219E" w:rsidRPr="002F1D39" w:rsidRDefault="0011219E" w:rsidP="00653BB4">
      <w:pPr>
        <w:pStyle w:val="ListParagraph"/>
        <w:numPr>
          <w:ilvl w:val="0"/>
          <w:numId w:val="10"/>
        </w:numPr>
        <w:rPr>
          <w:sz w:val="24"/>
          <w:szCs w:val="24"/>
        </w:rPr>
      </w:pPr>
      <w:r w:rsidRPr="002F1D39">
        <w:rPr>
          <w:sz w:val="24"/>
          <w:szCs w:val="24"/>
        </w:rPr>
        <w:t>Federal Institutions- MOA, MOWE, donors (CIDA, WB, IFAD, GIZ, DFID</w:t>
      </w:r>
      <w:r w:rsidR="00802E0C" w:rsidRPr="002F1D39">
        <w:rPr>
          <w:sz w:val="24"/>
          <w:szCs w:val="24"/>
        </w:rPr>
        <w:t>, USAID</w:t>
      </w:r>
      <w:r w:rsidRPr="002F1D39">
        <w:rPr>
          <w:sz w:val="24"/>
          <w:szCs w:val="24"/>
        </w:rPr>
        <w:t xml:space="preserve">), SC members of NBDC  </w:t>
      </w:r>
    </w:p>
    <w:p w:rsidR="0011219E" w:rsidRPr="002F1D39" w:rsidRDefault="0011219E" w:rsidP="00653BB4">
      <w:pPr>
        <w:pStyle w:val="ListParagraph"/>
        <w:numPr>
          <w:ilvl w:val="0"/>
          <w:numId w:val="10"/>
        </w:numPr>
        <w:rPr>
          <w:sz w:val="24"/>
          <w:szCs w:val="24"/>
        </w:rPr>
      </w:pPr>
      <w:r w:rsidRPr="002F1D39">
        <w:rPr>
          <w:sz w:val="24"/>
          <w:szCs w:val="24"/>
        </w:rPr>
        <w:lastRenderedPageBreak/>
        <w:t>Regional level consultation---</w:t>
      </w:r>
      <w:proofErr w:type="spellStart"/>
      <w:r w:rsidRPr="002F1D39">
        <w:rPr>
          <w:sz w:val="24"/>
          <w:szCs w:val="24"/>
        </w:rPr>
        <w:t>Amhara</w:t>
      </w:r>
      <w:proofErr w:type="spellEnd"/>
      <w:r w:rsidRPr="002F1D39">
        <w:rPr>
          <w:sz w:val="24"/>
          <w:szCs w:val="24"/>
        </w:rPr>
        <w:t xml:space="preserve"> region- BOA, Nail Basin Authority, </w:t>
      </w:r>
      <w:proofErr w:type="spellStart"/>
      <w:r w:rsidRPr="002F1D39">
        <w:rPr>
          <w:sz w:val="24"/>
          <w:szCs w:val="24"/>
        </w:rPr>
        <w:t>Benishangul</w:t>
      </w:r>
      <w:proofErr w:type="spellEnd"/>
      <w:r w:rsidRPr="002F1D39">
        <w:rPr>
          <w:sz w:val="24"/>
          <w:szCs w:val="24"/>
        </w:rPr>
        <w:t xml:space="preserve"> </w:t>
      </w:r>
      <w:proofErr w:type="spellStart"/>
      <w:r w:rsidRPr="002F1D39">
        <w:rPr>
          <w:sz w:val="24"/>
          <w:szCs w:val="24"/>
        </w:rPr>
        <w:t>gumuz</w:t>
      </w:r>
      <w:proofErr w:type="spellEnd"/>
      <w:r w:rsidRPr="002F1D39">
        <w:rPr>
          <w:sz w:val="24"/>
          <w:szCs w:val="24"/>
        </w:rPr>
        <w:t xml:space="preserve">, </w:t>
      </w:r>
      <w:proofErr w:type="spellStart"/>
      <w:r w:rsidRPr="002F1D39">
        <w:rPr>
          <w:sz w:val="24"/>
          <w:szCs w:val="24"/>
        </w:rPr>
        <w:t>Oromiya</w:t>
      </w:r>
      <w:proofErr w:type="spellEnd"/>
      <w:r w:rsidRPr="002F1D39">
        <w:rPr>
          <w:sz w:val="24"/>
          <w:szCs w:val="24"/>
        </w:rPr>
        <w:t xml:space="preserve"> region </w:t>
      </w:r>
    </w:p>
    <w:p w:rsidR="0011219E" w:rsidRPr="002F1D39" w:rsidRDefault="00653BB4" w:rsidP="00EC6454">
      <w:pPr>
        <w:pStyle w:val="ListParagraph"/>
        <w:numPr>
          <w:ilvl w:val="0"/>
          <w:numId w:val="5"/>
        </w:numPr>
        <w:rPr>
          <w:sz w:val="24"/>
          <w:szCs w:val="24"/>
        </w:rPr>
      </w:pPr>
      <w:r w:rsidRPr="002F1D39">
        <w:rPr>
          <w:sz w:val="24"/>
          <w:szCs w:val="24"/>
        </w:rPr>
        <w:t>Pr</w:t>
      </w:r>
      <w:r w:rsidR="00D71190" w:rsidRPr="002F1D39">
        <w:rPr>
          <w:sz w:val="24"/>
          <w:szCs w:val="24"/>
        </w:rPr>
        <w:t>esentation of</w:t>
      </w:r>
      <w:r w:rsidRPr="002F1D39">
        <w:rPr>
          <w:sz w:val="24"/>
          <w:szCs w:val="24"/>
        </w:rPr>
        <w:t xml:space="preserve"> past </w:t>
      </w:r>
      <w:r w:rsidR="00D71190" w:rsidRPr="002F1D39">
        <w:rPr>
          <w:sz w:val="24"/>
          <w:szCs w:val="24"/>
        </w:rPr>
        <w:t>platform meeting</w:t>
      </w:r>
      <w:r w:rsidRPr="002F1D39">
        <w:rPr>
          <w:sz w:val="24"/>
          <w:szCs w:val="24"/>
        </w:rPr>
        <w:t xml:space="preserve"> </w:t>
      </w:r>
      <w:r w:rsidR="00D71190" w:rsidRPr="002F1D39">
        <w:rPr>
          <w:sz w:val="24"/>
          <w:szCs w:val="24"/>
        </w:rPr>
        <w:t>experiences</w:t>
      </w:r>
      <w:r w:rsidR="00A137A9">
        <w:rPr>
          <w:sz w:val="24"/>
          <w:szCs w:val="24"/>
        </w:rPr>
        <w:t xml:space="preserve"> (NBDC facilitated national platform and others)</w:t>
      </w:r>
      <w:r w:rsidR="00D71190" w:rsidRPr="002F1D39">
        <w:rPr>
          <w:sz w:val="24"/>
          <w:szCs w:val="24"/>
        </w:rPr>
        <w:t xml:space="preserve"> </w:t>
      </w:r>
      <w:r w:rsidRPr="002F1D39">
        <w:rPr>
          <w:sz w:val="24"/>
          <w:szCs w:val="24"/>
        </w:rPr>
        <w:t xml:space="preserve">and explore opportunities </w:t>
      </w:r>
      <w:r w:rsidR="00D71190" w:rsidRPr="002F1D39">
        <w:rPr>
          <w:sz w:val="24"/>
          <w:szCs w:val="24"/>
        </w:rPr>
        <w:t>for future institutional sustainability.</w:t>
      </w:r>
      <w:r w:rsidRPr="002F1D39">
        <w:rPr>
          <w:sz w:val="24"/>
          <w:szCs w:val="24"/>
        </w:rPr>
        <w:t xml:space="preserve"> </w:t>
      </w:r>
    </w:p>
    <w:p w:rsidR="0011219E" w:rsidRPr="002F1D39" w:rsidRDefault="0011219E" w:rsidP="0011219E">
      <w:pPr>
        <w:pStyle w:val="ListParagraph"/>
        <w:rPr>
          <w:sz w:val="24"/>
          <w:szCs w:val="24"/>
        </w:rPr>
      </w:pPr>
    </w:p>
    <w:p w:rsidR="0011219E" w:rsidRPr="002F1D39" w:rsidRDefault="0011219E" w:rsidP="0011219E">
      <w:pPr>
        <w:pStyle w:val="ListParagraph"/>
        <w:rPr>
          <w:sz w:val="24"/>
          <w:szCs w:val="24"/>
        </w:rPr>
      </w:pPr>
      <w:r w:rsidRPr="002F1D39">
        <w:rPr>
          <w:b/>
          <w:sz w:val="24"/>
          <w:szCs w:val="24"/>
        </w:rPr>
        <w:t>Expected result</w:t>
      </w:r>
      <w:r w:rsidRPr="002F1D39">
        <w:rPr>
          <w:sz w:val="24"/>
          <w:szCs w:val="24"/>
        </w:rPr>
        <w:t xml:space="preserve">:  </w:t>
      </w:r>
    </w:p>
    <w:p w:rsidR="0011219E" w:rsidRPr="002F1D39" w:rsidRDefault="0011219E" w:rsidP="0011219E">
      <w:pPr>
        <w:pStyle w:val="ListParagraph"/>
        <w:numPr>
          <w:ilvl w:val="0"/>
          <w:numId w:val="5"/>
        </w:numPr>
        <w:rPr>
          <w:sz w:val="24"/>
          <w:szCs w:val="24"/>
        </w:rPr>
      </w:pPr>
      <w:r w:rsidRPr="002F1D39">
        <w:rPr>
          <w:sz w:val="24"/>
          <w:szCs w:val="24"/>
        </w:rPr>
        <w:t>ways and means identified to integrate NBDC</w:t>
      </w:r>
      <w:r w:rsidR="00D71190" w:rsidRPr="002F1D39">
        <w:rPr>
          <w:sz w:val="24"/>
          <w:szCs w:val="24"/>
        </w:rPr>
        <w:t xml:space="preserve"> issues </w:t>
      </w:r>
      <w:r w:rsidRPr="002F1D39">
        <w:rPr>
          <w:sz w:val="24"/>
          <w:szCs w:val="24"/>
        </w:rPr>
        <w:t>into the existing national and regional platforms</w:t>
      </w:r>
      <w:r w:rsidR="00A137A9">
        <w:rPr>
          <w:sz w:val="24"/>
          <w:szCs w:val="24"/>
        </w:rPr>
        <w:t>, coordination mechanisms and /or planning process</w:t>
      </w:r>
      <w:r w:rsidRPr="002F1D39">
        <w:rPr>
          <w:sz w:val="24"/>
          <w:szCs w:val="24"/>
        </w:rPr>
        <w:t>- ADPLAC, ESIF for SLM, National Agricultural Research System review process</w:t>
      </w:r>
      <w:r w:rsidR="00A137A9">
        <w:rPr>
          <w:sz w:val="24"/>
          <w:szCs w:val="24"/>
        </w:rPr>
        <w:t>, multi-stakeholders meetings</w:t>
      </w:r>
      <w:r w:rsidRPr="002F1D39">
        <w:rPr>
          <w:sz w:val="24"/>
          <w:szCs w:val="24"/>
        </w:rPr>
        <w:t xml:space="preserve"> </w:t>
      </w:r>
      <w:proofErr w:type="spellStart"/>
      <w:r w:rsidRPr="002F1D39">
        <w:rPr>
          <w:sz w:val="24"/>
          <w:szCs w:val="24"/>
        </w:rPr>
        <w:t>etc</w:t>
      </w:r>
      <w:proofErr w:type="spellEnd"/>
    </w:p>
    <w:p w:rsidR="00460746" w:rsidRPr="002F1D39" w:rsidRDefault="00460746" w:rsidP="00460746">
      <w:pPr>
        <w:pStyle w:val="ListParagraph"/>
        <w:ind w:left="1080"/>
        <w:rPr>
          <w:sz w:val="24"/>
          <w:szCs w:val="24"/>
        </w:rPr>
      </w:pPr>
    </w:p>
    <w:p w:rsidR="0011219E" w:rsidRPr="002F1D39" w:rsidRDefault="0011219E" w:rsidP="006900DC">
      <w:pPr>
        <w:pStyle w:val="ListParagraph"/>
        <w:numPr>
          <w:ilvl w:val="0"/>
          <w:numId w:val="11"/>
        </w:numPr>
        <w:rPr>
          <w:sz w:val="24"/>
          <w:szCs w:val="24"/>
        </w:rPr>
      </w:pPr>
      <w:r w:rsidRPr="002F1D39">
        <w:rPr>
          <w:b/>
          <w:sz w:val="24"/>
          <w:szCs w:val="24"/>
        </w:rPr>
        <w:t>Supply side</w:t>
      </w:r>
      <w:r w:rsidRPr="002F1D39">
        <w:rPr>
          <w:sz w:val="24"/>
          <w:szCs w:val="24"/>
        </w:rPr>
        <w:t>:</w:t>
      </w:r>
      <w:r w:rsidR="001E6A04" w:rsidRPr="002F1D39">
        <w:rPr>
          <w:sz w:val="24"/>
          <w:szCs w:val="24"/>
        </w:rPr>
        <w:t xml:space="preserve"> Simon to take the coordination with format developed</w:t>
      </w:r>
    </w:p>
    <w:p w:rsidR="0011219E" w:rsidRPr="002F1D39" w:rsidRDefault="0011219E" w:rsidP="0011219E">
      <w:pPr>
        <w:pStyle w:val="ListParagraph"/>
        <w:numPr>
          <w:ilvl w:val="0"/>
          <w:numId w:val="5"/>
        </w:numPr>
        <w:rPr>
          <w:sz w:val="24"/>
          <w:szCs w:val="24"/>
        </w:rPr>
      </w:pPr>
      <w:r w:rsidRPr="002F1D39">
        <w:rPr>
          <w:sz w:val="24"/>
          <w:szCs w:val="24"/>
        </w:rPr>
        <w:t>The promotion of available research products</w:t>
      </w:r>
      <w:r w:rsidR="00D71190" w:rsidRPr="002F1D39">
        <w:rPr>
          <w:sz w:val="24"/>
          <w:szCs w:val="24"/>
        </w:rPr>
        <w:t xml:space="preserve"> (recommendations, institutional issues, technological innovations, improved practices, process, tools and capacity building)</w:t>
      </w:r>
      <w:r w:rsidRPr="002F1D39">
        <w:rPr>
          <w:sz w:val="24"/>
          <w:szCs w:val="24"/>
        </w:rPr>
        <w:t xml:space="preserve"> of the NBDC in ministries and their affiliates- do we have them? </w:t>
      </w:r>
    </w:p>
    <w:p w:rsidR="0011219E" w:rsidRPr="002F1D39" w:rsidRDefault="0011219E" w:rsidP="0011219E">
      <w:pPr>
        <w:pStyle w:val="ListParagraph"/>
        <w:numPr>
          <w:ilvl w:val="0"/>
          <w:numId w:val="5"/>
        </w:numPr>
        <w:rPr>
          <w:sz w:val="24"/>
          <w:szCs w:val="24"/>
        </w:rPr>
      </w:pPr>
      <w:r w:rsidRPr="002F1D39">
        <w:rPr>
          <w:sz w:val="24"/>
          <w:szCs w:val="24"/>
        </w:rPr>
        <w:t>Identify and package research results, tools, process of NBDC for sharing at national and</w:t>
      </w:r>
      <w:r w:rsidR="00D71190" w:rsidRPr="002F1D39">
        <w:rPr>
          <w:sz w:val="24"/>
          <w:szCs w:val="24"/>
        </w:rPr>
        <w:t xml:space="preserve"> regional level- Alan and Simon to take the lead and coordinate with others</w:t>
      </w:r>
      <w:r w:rsidRPr="002F1D39">
        <w:rPr>
          <w:sz w:val="24"/>
          <w:szCs w:val="24"/>
        </w:rPr>
        <w:t xml:space="preserve">. </w:t>
      </w:r>
      <w:r w:rsidR="00D71190" w:rsidRPr="002F1D39">
        <w:rPr>
          <w:sz w:val="24"/>
          <w:szCs w:val="24"/>
        </w:rPr>
        <w:t xml:space="preserve">Researchers and </w:t>
      </w:r>
      <w:r w:rsidRPr="002F1D39">
        <w:rPr>
          <w:sz w:val="24"/>
          <w:szCs w:val="24"/>
        </w:rPr>
        <w:t xml:space="preserve">project </w:t>
      </w:r>
      <w:r w:rsidR="001E6A04" w:rsidRPr="002F1D39">
        <w:rPr>
          <w:sz w:val="24"/>
          <w:szCs w:val="24"/>
        </w:rPr>
        <w:t>leaders need</w:t>
      </w:r>
      <w:r w:rsidRPr="002F1D39">
        <w:rPr>
          <w:sz w:val="24"/>
          <w:szCs w:val="24"/>
        </w:rPr>
        <w:t xml:space="preserve"> to identify research results that could be communicated for different levels of audience- national policy makers, basin level policy makers and practitioners</w:t>
      </w:r>
      <w:r w:rsidR="00D71190" w:rsidRPr="002F1D39">
        <w:rPr>
          <w:sz w:val="24"/>
          <w:szCs w:val="24"/>
        </w:rPr>
        <w:t>.</w:t>
      </w:r>
    </w:p>
    <w:p w:rsidR="0011219E" w:rsidRPr="002F1D39" w:rsidRDefault="0011219E" w:rsidP="0011219E">
      <w:pPr>
        <w:pStyle w:val="ListParagraph"/>
        <w:ind w:left="1080"/>
        <w:rPr>
          <w:b/>
          <w:sz w:val="24"/>
          <w:szCs w:val="24"/>
        </w:rPr>
      </w:pPr>
    </w:p>
    <w:p w:rsidR="0011219E" w:rsidRPr="002F1D39" w:rsidRDefault="0011219E" w:rsidP="006900DC">
      <w:pPr>
        <w:pStyle w:val="ListParagraph"/>
        <w:numPr>
          <w:ilvl w:val="0"/>
          <w:numId w:val="11"/>
        </w:numPr>
        <w:rPr>
          <w:sz w:val="24"/>
          <w:szCs w:val="24"/>
        </w:rPr>
      </w:pPr>
      <w:r w:rsidRPr="002F1D39">
        <w:rPr>
          <w:b/>
          <w:sz w:val="24"/>
          <w:szCs w:val="24"/>
        </w:rPr>
        <w:t>Mechanisms to share</w:t>
      </w:r>
      <w:r w:rsidRPr="002F1D39">
        <w:rPr>
          <w:sz w:val="24"/>
          <w:szCs w:val="24"/>
        </w:rPr>
        <w:t>:</w:t>
      </w:r>
    </w:p>
    <w:p w:rsidR="00460746" w:rsidRPr="002F1D39" w:rsidRDefault="00460746" w:rsidP="00460746">
      <w:pPr>
        <w:pStyle w:val="ListParagraph"/>
        <w:rPr>
          <w:sz w:val="24"/>
          <w:szCs w:val="24"/>
        </w:rPr>
      </w:pPr>
    </w:p>
    <w:p w:rsidR="001E6A04" w:rsidRPr="002F1D39" w:rsidRDefault="0011219E" w:rsidP="0011219E">
      <w:pPr>
        <w:pStyle w:val="ListParagraph"/>
        <w:numPr>
          <w:ilvl w:val="0"/>
          <w:numId w:val="7"/>
        </w:numPr>
        <w:rPr>
          <w:sz w:val="24"/>
          <w:szCs w:val="24"/>
        </w:rPr>
      </w:pPr>
      <w:r w:rsidRPr="002F1D39">
        <w:rPr>
          <w:sz w:val="24"/>
          <w:szCs w:val="24"/>
        </w:rPr>
        <w:t>Organize the national platform in Feb 2013</w:t>
      </w:r>
      <w:r w:rsidR="001E6A04" w:rsidRPr="002F1D39">
        <w:rPr>
          <w:sz w:val="24"/>
          <w:szCs w:val="24"/>
        </w:rPr>
        <w:t xml:space="preserve">- </w:t>
      </w:r>
      <w:r w:rsidR="00701AAC">
        <w:rPr>
          <w:sz w:val="24"/>
          <w:szCs w:val="24"/>
        </w:rPr>
        <w:t>Emphasis on NBDC products, lessons learned and recommendations, but also i</w:t>
      </w:r>
      <w:r w:rsidR="001E6A04" w:rsidRPr="002F1D39">
        <w:rPr>
          <w:sz w:val="24"/>
          <w:szCs w:val="24"/>
        </w:rPr>
        <w:t>nstitutional sustainability and financing issues will be tabled for discussion.</w:t>
      </w:r>
      <w:r w:rsidRPr="002F1D39">
        <w:rPr>
          <w:sz w:val="24"/>
          <w:szCs w:val="24"/>
        </w:rPr>
        <w:t xml:space="preserve"> </w:t>
      </w:r>
    </w:p>
    <w:p w:rsidR="0011219E" w:rsidRPr="002F1D39" w:rsidRDefault="0011219E" w:rsidP="0011219E">
      <w:pPr>
        <w:pStyle w:val="ListParagraph"/>
        <w:numPr>
          <w:ilvl w:val="0"/>
          <w:numId w:val="7"/>
        </w:numPr>
        <w:rPr>
          <w:sz w:val="24"/>
          <w:szCs w:val="24"/>
        </w:rPr>
      </w:pPr>
      <w:r w:rsidRPr="002F1D39">
        <w:rPr>
          <w:sz w:val="24"/>
          <w:szCs w:val="24"/>
        </w:rPr>
        <w:t>Organize Basin level platform meeting in July 2013</w:t>
      </w:r>
      <w:r w:rsidR="00701AAC">
        <w:rPr>
          <w:sz w:val="24"/>
          <w:szCs w:val="24"/>
        </w:rPr>
        <w:t xml:space="preserve"> with strong focus on regional involvement</w:t>
      </w:r>
      <w:r w:rsidRPr="002F1D39">
        <w:rPr>
          <w:sz w:val="24"/>
          <w:szCs w:val="24"/>
        </w:rPr>
        <w:t xml:space="preserve">—Place: </w:t>
      </w:r>
      <w:proofErr w:type="spellStart"/>
      <w:r w:rsidRPr="002F1D39">
        <w:rPr>
          <w:sz w:val="24"/>
          <w:szCs w:val="24"/>
        </w:rPr>
        <w:t>Bahir</w:t>
      </w:r>
      <w:proofErr w:type="spellEnd"/>
      <w:r w:rsidRPr="002F1D39">
        <w:rPr>
          <w:sz w:val="24"/>
          <w:szCs w:val="24"/>
        </w:rPr>
        <w:t xml:space="preserve"> Dar where the Basin Authority head office is based.</w:t>
      </w:r>
      <w:r w:rsidR="00A137A9">
        <w:rPr>
          <w:sz w:val="24"/>
          <w:szCs w:val="24"/>
        </w:rPr>
        <w:t xml:space="preserve"> NBDC</w:t>
      </w:r>
      <w:r w:rsidRPr="002F1D39">
        <w:rPr>
          <w:sz w:val="24"/>
          <w:szCs w:val="24"/>
        </w:rPr>
        <w:t xml:space="preserve"> </w:t>
      </w:r>
      <w:r w:rsidR="00A137A9">
        <w:rPr>
          <w:sz w:val="24"/>
          <w:szCs w:val="24"/>
        </w:rPr>
        <w:t>r</w:t>
      </w:r>
      <w:r w:rsidRPr="002F1D39">
        <w:rPr>
          <w:sz w:val="24"/>
          <w:szCs w:val="24"/>
        </w:rPr>
        <w:t>esearch results will be presented</w:t>
      </w:r>
      <w:r w:rsidR="007A7F66">
        <w:rPr>
          <w:sz w:val="24"/>
          <w:szCs w:val="24"/>
        </w:rPr>
        <w:t xml:space="preserve"> (key people as identified by NBDC leadership to provide the key issues)</w:t>
      </w:r>
      <w:r w:rsidRPr="002F1D39">
        <w:rPr>
          <w:sz w:val="24"/>
          <w:szCs w:val="24"/>
        </w:rPr>
        <w:t xml:space="preserve">, and institutional networking modality discussed from sustainability point of view. The results of this workshop will be an input for the Oct-Nov </w:t>
      </w:r>
      <w:r w:rsidR="00A137A9">
        <w:rPr>
          <w:sz w:val="24"/>
          <w:szCs w:val="24"/>
        </w:rPr>
        <w:t xml:space="preserve">national </w:t>
      </w:r>
      <w:r w:rsidRPr="002F1D39">
        <w:rPr>
          <w:sz w:val="24"/>
          <w:szCs w:val="24"/>
        </w:rPr>
        <w:t>platform meeting.</w:t>
      </w:r>
      <w:r w:rsidR="00A137A9">
        <w:rPr>
          <w:sz w:val="24"/>
          <w:szCs w:val="24"/>
        </w:rPr>
        <w:t xml:space="preserve"> Who should participate in the meeting and present papers </w:t>
      </w:r>
      <w:r w:rsidR="00486D96">
        <w:rPr>
          <w:sz w:val="24"/>
          <w:szCs w:val="24"/>
        </w:rPr>
        <w:t>left open for discussion with the NBDC leadership?</w:t>
      </w:r>
    </w:p>
    <w:p w:rsidR="0011219E" w:rsidRPr="002F1D39" w:rsidRDefault="0011219E" w:rsidP="0011219E">
      <w:pPr>
        <w:pStyle w:val="ListParagraph"/>
        <w:numPr>
          <w:ilvl w:val="0"/>
          <w:numId w:val="7"/>
        </w:numPr>
        <w:rPr>
          <w:sz w:val="24"/>
          <w:szCs w:val="24"/>
        </w:rPr>
      </w:pPr>
      <w:r w:rsidRPr="002F1D39">
        <w:rPr>
          <w:sz w:val="24"/>
          <w:szCs w:val="24"/>
        </w:rPr>
        <w:t xml:space="preserve">Organize </w:t>
      </w:r>
      <w:r w:rsidR="00701AAC">
        <w:rPr>
          <w:sz w:val="24"/>
          <w:szCs w:val="24"/>
        </w:rPr>
        <w:t xml:space="preserve">another </w:t>
      </w:r>
      <w:r w:rsidRPr="002F1D39">
        <w:rPr>
          <w:sz w:val="24"/>
          <w:szCs w:val="24"/>
        </w:rPr>
        <w:t xml:space="preserve">national platform in October or November 2013. </w:t>
      </w:r>
      <w:r w:rsidR="00701AAC">
        <w:rPr>
          <w:sz w:val="24"/>
          <w:szCs w:val="24"/>
        </w:rPr>
        <w:t xml:space="preserve">This may include </w:t>
      </w:r>
      <w:proofErr w:type="gramStart"/>
      <w:r w:rsidR="00701AAC">
        <w:rPr>
          <w:sz w:val="24"/>
          <w:szCs w:val="24"/>
        </w:rPr>
        <w:t>f</w:t>
      </w:r>
      <w:r w:rsidRPr="002F1D39">
        <w:rPr>
          <w:sz w:val="24"/>
          <w:szCs w:val="24"/>
        </w:rPr>
        <w:t>inal</w:t>
      </w:r>
      <w:proofErr w:type="gramEnd"/>
      <w:r w:rsidRPr="002F1D39">
        <w:rPr>
          <w:sz w:val="24"/>
          <w:szCs w:val="24"/>
        </w:rPr>
        <w:t xml:space="preserve"> presentation of NBDC research products for wider use</w:t>
      </w:r>
      <w:r w:rsidR="00701AAC">
        <w:rPr>
          <w:sz w:val="24"/>
          <w:szCs w:val="24"/>
        </w:rPr>
        <w:t xml:space="preserve">, but will also have a strong focus on sustainability of the platform beyond </w:t>
      </w:r>
      <w:r w:rsidR="00486D96">
        <w:rPr>
          <w:sz w:val="24"/>
          <w:szCs w:val="24"/>
        </w:rPr>
        <w:t xml:space="preserve">2013. </w:t>
      </w:r>
      <w:r w:rsidRPr="002F1D39">
        <w:rPr>
          <w:sz w:val="24"/>
          <w:szCs w:val="24"/>
        </w:rPr>
        <w:t>It is also possible to invite other institution</w:t>
      </w:r>
      <w:r w:rsidR="00701AAC">
        <w:rPr>
          <w:sz w:val="24"/>
          <w:szCs w:val="24"/>
        </w:rPr>
        <w:t>s</w:t>
      </w:r>
      <w:r w:rsidRPr="002F1D39">
        <w:rPr>
          <w:sz w:val="24"/>
          <w:szCs w:val="24"/>
        </w:rPr>
        <w:t xml:space="preserve"> willing to support the platform and share their experiences. </w:t>
      </w:r>
      <w:r w:rsidR="001E6A04" w:rsidRPr="002F1D39">
        <w:rPr>
          <w:sz w:val="24"/>
          <w:szCs w:val="24"/>
        </w:rPr>
        <w:t xml:space="preserve">This platform </w:t>
      </w:r>
      <w:r w:rsidR="001E6A04" w:rsidRPr="002F1D39">
        <w:rPr>
          <w:sz w:val="24"/>
          <w:szCs w:val="24"/>
        </w:rPr>
        <w:lastRenderedPageBreak/>
        <w:t xml:space="preserve">meeting could be merged with the African wide experience sharing where </w:t>
      </w:r>
      <w:r w:rsidR="00701AAC">
        <w:rPr>
          <w:sz w:val="24"/>
          <w:szCs w:val="24"/>
        </w:rPr>
        <w:t>th</w:t>
      </w:r>
      <w:r w:rsidR="001E6A04" w:rsidRPr="002F1D39">
        <w:rPr>
          <w:sz w:val="24"/>
          <w:szCs w:val="24"/>
        </w:rPr>
        <w:t xml:space="preserve">e first day could be </w:t>
      </w:r>
      <w:r w:rsidR="00701AAC">
        <w:rPr>
          <w:sz w:val="24"/>
          <w:szCs w:val="24"/>
        </w:rPr>
        <w:t xml:space="preserve">focused on the </w:t>
      </w:r>
      <w:r w:rsidR="001E6A04" w:rsidRPr="002F1D39">
        <w:rPr>
          <w:sz w:val="24"/>
          <w:szCs w:val="24"/>
        </w:rPr>
        <w:t>Ethiopian case.</w:t>
      </w:r>
    </w:p>
    <w:p w:rsidR="0011219E" w:rsidRPr="002F1D39" w:rsidRDefault="0011219E" w:rsidP="0011219E">
      <w:pPr>
        <w:pStyle w:val="ListParagraph"/>
        <w:numPr>
          <w:ilvl w:val="0"/>
          <w:numId w:val="7"/>
        </w:numPr>
        <w:rPr>
          <w:sz w:val="24"/>
          <w:szCs w:val="24"/>
        </w:rPr>
      </w:pPr>
      <w:r w:rsidRPr="002F1D39">
        <w:rPr>
          <w:sz w:val="24"/>
          <w:szCs w:val="24"/>
        </w:rPr>
        <w:t xml:space="preserve">Share information </w:t>
      </w:r>
      <w:r w:rsidR="00BF6033" w:rsidRPr="002F1D39">
        <w:rPr>
          <w:sz w:val="24"/>
          <w:szCs w:val="24"/>
        </w:rPr>
        <w:t>using formal</w:t>
      </w:r>
      <w:r w:rsidRPr="002F1D39">
        <w:rPr>
          <w:sz w:val="24"/>
          <w:szCs w:val="24"/>
        </w:rPr>
        <w:t xml:space="preserve"> and informal networking- email list for updating, one on one meeting with key political figures</w:t>
      </w:r>
      <w:r w:rsidR="00486D96">
        <w:rPr>
          <w:sz w:val="24"/>
          <w:szCs w:val="24"/>
        </w:rPr>
        <w:t xml:space="preserve"> and through policy briefs.</w:t>
      </w:r>
    </w:p>
    <w:p w:rsidR="0011219E" w:rsidRPr="002F1D39" w:rsidRDefault="0011219E" w:rsidP="0011219E">
      <w:pPr>
        <w:pStyle w:val="ListParagraph"/>
        <w:numPr>
          <w:ilvl w:val="0"/>
          <w:numId w:val="7"/>
        </w:numPr>
        <w:rPr>
          <w:sz w:val="24"/>
          <w:szCs w:val="24"/>
        </w:rPr>
      </w:pPr>
      <w:r w:rsidRPr="002F1D39">
        <w:rPr>
          <w:sz w:val="24"/>
          <w:szCs w:val="24"/>
        </w:rPr>
        <w:t>Organize small core group meetings</w:t>
      </w:r>
      <w:r w:rsidR="001E6A04" w:rsidRPr="002F1D39">
        <w:rPr>
          <w:sz w:val="24"/>
          <w:szCs w:val="24"/>
        </w:rPr>
        <w:t xml:space="preserve"> </w:t>
      </w:r>
      <w:r w:rsidRPr="002F1D39">
        <w:rPr>
          <w:sz w:val="24"/>
          <w:szCs w:val="24"/>
        </w:rPr>
        <w:t>(SC members) to discuss on outstanding issues and strategic directions</w:t>
      </w:r>
      <w:r w:rsidR="00AA3069">
        <w:rPr>
          <w:sz w:val="24"/>
          <w:szCs w:val="24"/>
        </w:rPr>
        <w:t xml:space="preserve"> (especially related to sustainability of the national platform)</w:t>
      </w:r>
      <w:r w:rsidR="001E6A04" w:rsidRPr="002F1D39">
        <w:rPr>
          <w:sz w:val="24"/>
          <w:szCs w:val="24"/>
        </w:rPr>
        <w:t>- Composition of the SC will be subject for discussion and modification to include the missing partners- private sector, women, donors</w:t>
      </w:r>
      <w:r w:rsidR="00486D96">
        <w:rPr>
          <w:sz w:val="24"/>
          <w:szCs w:val="24"/>
        </w:rPr>
        <w:t>, EIAR, professional association, think tank group</w:t>
      </w:r>
      <w:r w:rsidR="001E6A04" w:rsidRPr="002F1D39">
        <w:rPr>
          <w:sz w:val="24"/>
          <w:szCs w:val="24"/>
        </w:rPr>
        <w:t xml:space="preserve"> etc. Redefine the role of the SC and also decide on the frequency of its meetings.</w:t>
      </w:r>
    </w:p>
    <w:p w:rsidR="0011219E" w:rsidRPr="002F1D39" w:rsidRDefault="0011219E" w:rsidP="0011219E">
      <w:pPr>
        <w:pStyle w:val="ListParagraph"/>
        <w:numPr>
          <w:ilvl w:val="0"/>
          <w:numId w:val="7"/>
        </w:numPr>
        <w:rPr>
          <w:sz w:val="24"/>
          <w:szCs w:val="24"/>
        </w:rPr>
      </w:pPr>
      <w:r w:rsidRPr="002F1D39">
        <w:rPr>
          <w:sz w:val="24"/>
          <w:szCs w:val="24"/>
        </w:rPr>
        <w:t>Use media as one means of influence- panel discussion, professional associations, think tank groups</w:t>
      </w:r>
      <w:r w:rsidR="001E6A04" w:rsidRPr="002F1D39">
        <w:rPr>
          <w:sz w:val="24"/>
          <w:szCs w:val="24"/>
        </w:rPr>
        <w:t xml:space="preserve">, interview etc. Feasibility to be discussed with </w:t>
      </w:r>
      <w:proofErr w:type="spellStart"/>
      <w:r w:rsidR="001E6A04" w:rsidRPr="002F1D39">
        <w:rPr>
          <w:sz w:val="24"/>
          <w:szCs w:val="24"/>
        </w:rPr>
        <w:t>Ewen</w:t>
      </w:r>
      <w:proofErr w:type="spellEnd"/>
      <w:r w:rsidR="001E6A04" w:rsidRPr="002F1D39">
        <w:rPr>
          <w:sz w:val="24"/>
          <w:szCs w:val="24"/>
        </w:rPr>
        <w:t xml:space="preserve"> </w:t>
      </w:r>
      <w:r w:rsidR="00AA3069">
        <w:rPr>
          <w:sz w:val="24"/>
          <w:szCs w:val="24"/>
        </w:rPr>
        <w:t>and/or Peter</w:t>
      </w:r>
      <w:r w:rsidR="001E6A04" w:rsidRPr="002F1D39">
        <w:rPr>
          <w:sz w:val="24"/>
          <w:szCs w:val="24"/>
        </w:rPr>
        <w:t>!!</w:t>
      </w:r>
    </w:p>
    <w:p w:rsidR="00622E96" w:rsidRPr="002F1D39" w:rsidRDefault="00622E96" w:rsidP="0011219E">
      <w:pPr>
        <w:pStyle w:val="ListParagraph"/>
        <w:numPr>
          <w:ilvl w:val="0"/>
          <w:numId w:val="7"/>
        </w:numPr>
        <w:rPr>
          <w:sz w:val="24"/>
          <w:szCs w:val="24"/>
        </w:rPr>
      </w:pPr>
      <w:r w:rsidRPr="002F1D39">
        <w:rPr>
          <w:sz w:val="24"/>
          <w:szCs w:val="24"/>
        </w:rPr>
        <w:t xml:space="preserve">Thematic working groups – community of practice, do they have a role in the future? Could they shift in </w:t>
      </w:r>
      <w:r w:rsidR="003325E5" w:rsidRPr="002F1D39">
        <w:rPr>
          <w:sz w:val="24"/>
          <w:szCs w:val="24"/>
        </w:rPr>
        <w:t>to learning events</w:t>
      </w:r>
      <w:r w:rsidRPr="002F1D39">
        <w:rPr>
          <w:sz w:val="24"/>
          <w:szCs w:val="24"/>
        </w:rPr>
        <w:t>? Could they serve as validation mechanisms for research findings</w:t>
      </w:r>
      <w:r w:rsidR="00AA3069">
        <w:rPr>
          <w:sz w:val="24"/>
          <w:szCs w:val="24"/>
        </w:rPr>
        <w:t>/tools</w:t>
      </w:r>
      <w:r w:rsidRPr="002F1D39">
        <w:rPr>
          <w:sz w:val="24"/>
          <w:szCs w:val="24"/>
        </w:rPr>
        <w:t>?</w:t>
      </w:r>
    </w:p>
    <w:p w:rsidR="0011219E" w:rsidRPr="002F1D39" w:rsidRDefault="006900DC" w:rsidP="006900DC">
      <w:pPr>
        <w:pStyle w:val="ListParagraph"/>
        <w:numPr>
          <w:ilvl w:val="0"/>
          <w:numId w:val="11"/>
        </w:numPr>
        <w:rPr>
          <w:b/>
          <w:sz w:val="24"/>
          <w:szCs w:val="24"/>
        </w:rPr>
      </w:pPr>
      <w:r w:rsidRPr="002F1D39">
        <w:rPr>
          <w:b/>
          <w:sz w:val="24"/>
          <w:szCs w:val="24"/>
        </w:rPr>
        <w:t>Key activities</w:t>
      </w:r>
      <w:r w:rsidR="0011219E" w:rsidRPr="002F1D39">
        <w:rPr>
          <w:b/>
          <w:sz w:val="24"/>
          <w:szCs w:val="24"/>
        </w:rPr>
        <w:t>:</w:t>
      </w:r>
    </w:p>
    <w:p w:rsidR="0011219E" w:rsidRPr="002F1D39" w:rsidRDefault="0011219E" w:rsidP="0011219E">
      <w:pPr>
        <w:pStyle w:val="ListParagraph"/>
        <w:numPr>
          <w:ilvl w:val="0"/>
          <w:numId w:val="2"/>
        </w:numPr>
        <w:rPr>
          <w:color w:val="FF0000"/>
          <w:sz w:val="24"/>
          <w:szCs w:val="24"/>
        </w:rPr>
      </w:pPr>
      <w:r w:rsidRPr="002F1D39">
        <w:rPr>
          <w:sz w:val="24"/>
          <w:szCs w:val="24"/>
        </w:rPr>
        <w:t>Strategy</w:t>
      </w:r>
      <w:r w:rsidR="001E6A04" w:rsidRPr="002F1D39">
        <w:rPr>
          <w:sz w:val="24"/>
          <w:szCs w:val="24"/>
        </w:rPr>
        <w:t xml:space="preserve"> and work</w:t>
      </w:r>
      <w:r w:rsidRPr="002F1D39">
        <w:rPr>
          <w:sz w:val="24"/>
          <w:szCs w:val="24"/>
        </w:rPr>
        <w:t xml:space="preserve"> </w:t>
      </w:r>
      <w:r w:rsidR="001E6A04" w:rsidRPr="002F1D39">
        <w:rPr>
          <w:sz w:val="24"/>
          <w:szCs w:val="24"/>
        </w:rPr>
        <w:t xml:space="preserve">plan </w:t>
      </w:r>
      <w:r w:rsidRPr="002F1D39">
        <w:rPr>
          <w:sz w:val="24"/>
          <w:szCs w:val="24"/>
        </w:rPr>
        <w:t>to be developed based on feedback</w:t>
      </w:r>
      <w:r w:rsidR="001E6A04" w:rsidRPr="002F1D39">
        <w:rPr>
          <w:sz w:val="24"/>
          <w:szCs w:val="24"/>
        </w:rPr>
        <w:t>s</w:t>
      </w:r>
    </w:p>
    <w:p w:rsidR="0011219E" w:rsidRPr="002F1D39" w:rsidRDefault="0011219E" w:rsidP="0011219E">
      <w:pPr>
        <w:pStyle w:val="ListParagraph"/>
        <w:numPr>
          <w:ilvl w:val="0"/>
          <w:numId w:val="2"/>
        </w:numPr>
        <w:rPr>
          <w:color w:val="FF0000"/>
          <w:sz w:val="24"/>
          <w:szCs w:val="24"/>
        </w:rPr>
      </w:pPr>
      <w:r w:rsidRPr="002F1D39">
        <w:rPr>
          <w:color w:val="FF0000"/>
          <w:sz w:val="24"/>
          <w:szCs w:val="24"/>
        </w:rPr>
        <w:t xml:space="preserve"> </w:t>
      </w:r>
      <w:r w:rsidRPr="002F1D39">
        <w:rPr>
          <w:sz w:val="24"/>
          <w:szCs w:val="24"/>
        </w:rPr>
        <w:t>Participate in monthly and key Nile BDC meetings, such as planning and reflection meetings</w:t>
      </w:r>
    </w:p>
    <w:p w:rsidR="0011219E" w:rsidRPr="002F1D39" w:rsidRDefault="0011219E" w:rsidP="0011219E">
      <w:pPr>
        <w:pStyle w:val="ListParagraph"/>
        <w:numPr>
          <w:ilvl w:val="0"/>
          <w:numId w:val="2"/>
        </w:numPr>
        <w:rPr>
          <w:color w:val="FF0000"/>
          <w:sz w:val="24"/>
          <w:szCs w:val="24"/>
        </w:rPr>
      </w:pPr>
      <w:r w:rsidRPr="002F1D39">
        <w:rPr>
          <w:sz w:val="24"/>
          <w:szCs w:val="24"/>
        </w:rPr>
        <w:t>Preparation of and participation in national steering committee meetings</w:t>
      </w:r>
    </w:p>
    <w:p w:rsidR="009E3DCB" w:rsidRPr="002F1D39" w:rsidRDefault="00622E96" w:rsidP="0011219E">
      <w:pPr>
        <w:pStyle w:val="ListParagraph"/>
        <w:numPr>
          <w:ilvl w:val="0"/>
          <w:numId w:val="2"/>
        </w:numPr>
        <w:rPr>
          <w:color w:val="FF0000"/>
          <w:sz w:val="24"/>
          <w:szCs w:val="24"/>
        </w:rPr>
      </w:pPr>
      <w:r w:rsidRPr="002F1D39">
        <w:rPr>
          <w:sz w:val="24"/>
          <w:szCs w:val="24"/>
        </w:rPr>
        <w:t>Participate in</w:t>
      </w:r>
      <w:r w:rsidR="0011219E" w:rsidRPr="002F1D39">
        <w:rPr>
          <w:sz w:val="24"/>
          <w:szCs w:val="24"/>
        </w:rPr>
        <w:t xml:space="preserve"> National and regional Platform meetings to improve the current Nile BDC partnership for influencing national and regional policies in rain water management systems</w:t>
      </w:r>
      <w:r w:rsidR="009E3DCB" w:rsidRPr="002F1D39">
        <w:rPr>
          <w:sz w:val="24"/>
          <w:szCs w:val="24"/>
        </w:rPr>
        <w:t>.</w:t>
      </w:r>
    </w:p>
    <w:p w:rsidR="0011219E" w:rsidRPr="002F1D39" w:rsidRDefault="009E3DCB" w:rsidP="0011219E">
      <w:pPr>
        <w:pStyle w:val="ListParagraph"/>
        <w:numPr>
          <w:ilvl w:val="0"/>
          <w:numId w:val="2"/>
        </w:numPr>
        <w:rPr>
          <w:color w:val="FF0000"/>
          <w:sz w:val="24"/>
          <w:szCs w:val="24"/>
        </w:rPr>
      </w:pPr>
      <w:r w:rsidRPr="002F1D39">
        <w:rPr>
          <w:sz w:val="24"/>
          <w:szCs w:val="24"/>
        </w:rPr>
        <w:t>Initiate discussion among CG system for their representation in national platforms and other coordination mechanisms</w:t>
      </w:r>
      <w:r w:rsidR="00486D96">
        <w:rPr>
          <w:sz w:val="24"/>
          <w:szCs w:val="24"/>
        </w:rPr>
        <w:t xml:space="preserve"> if agreed by the NBDC leadership</w:t>
      </w:r>
      <w:r w:rsidRPr="002F1D39">
        <w:rPr>
          <w:sz w:val="24"/>
          <w:szCs w:val="24"/>
        </w:rPr>
        <w:t>.</w:t>
      </w:r>
      <w:r w:rsidR="0011219E" w:rsidRPr="002F1D39">
        <w:rPr>
          <w:sz w:val="24"/>
          <w:szCs w:val="24"/>
        </w:rPr>
        <w:t xml:space="preserve">  </w:t>
      </w:r>
    </w:p>
    <w:p w:rsidR="009E3DCB" w:rsidRPr="002F1D39" w:rsidRDefault="009E3DCB" w:rsidP="009E3DCB">
      <w:pPr>
        <w:pStyle w:val="ListParagraph"/>
        <w:numPr>
          <w:ilvl w:val="0"/>
          <w:numId w:val="2"/>
        </w:numPr>
        <w:rPr>
          <w:sz w:val="24"/>
          <w:szCs w:val="24"/>
        </w:rPr>
      </w:pPr>
      <w:r w:rsidRPr="002F1D39">
        <w:rPr>
          <w:sz w:val="24"/>
          <w:szCs w:val="24"/>
        </w:rPr>
        <w:t>Identify opportunities for sustaining the National Platform after the Nile BDC project funding has ended (end 2013)</w:t>
      </w:r>
    </w:p>
    <w:p w:rsidR="009E3DCB" w:rsidRPr="002F1D39" w:rsidRDefault="009E3DCB" w:rsidP="006900DC">
      <w:pPr>
        <w:pStyle w:val="ListParagraph"/>
        <w:numPr>
          <w:ilvl w:val="0"/>
          <w:numId w:val="11"/>
        </w:numPr>
        <w:rPr>
          <w:b/>
          <w:sz w:val="24"/>
          <w:szCs w:val="24"/>
        </w:rPr>
      </w:pPr>
      <w:r w:rsidRPr="002F1D39">
        <w:rPr>
          <w:b/>
          <w:sz w:val="24"/>
          <w:szCs w:val="24"/>
        </w:rPr>
        <w:t xml:space="preserve">Deliverables/outputs: </w:t>
      </w:r>
    </w:p>
    <w:p w:rsidR="004D62A8" w:rsidRPr="007A7F66" w:rsidRDefault="004D62A8" w:rsidP="004D62A8">
      <w:pPr>
        <w:pStyle w:val="ListParagraph"/>
        <w:numPr>
          <w:ilvl w:val="0"/>
          <w:numId w:val="2"/>
        </w:numPr>
        <w:rPr>
          <w:sz w:val="24"/>
          <w:szCs w:val="24"/>
        </w:rPr>
      </w:pPr>
      <w:r>
        <w:rPr>
          <w:sz w:val="24"/>
          <w:szCs w:val="24"/>
        </w:rPr>
        <w:t>Initial strategy and work plan (this document)</w:t>
      </w:r>
    </w:p>
    <w:p w:rsidR="009E3DCB" w:rsidRPr="002F1D39" w:rsidRDefault="00903CF8" w:rsidP="009E3DCB">
      <w:pPr>
        <w:pStyle w:val="ListParagraph"/>
        <w:numPr>
          <w:ilvl w:val="0"/>
          <w:numId w:val="2"/>
        </w:numPr>
        <w:rPr>
          <w:sz w:val="24"/>
          <w:szCs w:val="24"/>
        </w:rPr>
      </w:pPr>
      <w:r w:rsidRPr="002F1D39">
        <w:rPr>
          <w:sz w:val="24"/>
          <w:szCs w:val="24"/>
        </w:rPr>
        <w:t>R</w:t>
      </w:r>
      <w:r w:rsidR="009E3DCB" w:rsidRPr="002F1D39">
        <w:rPr>
          <w:sz w:val="24"/>
          <w:szCs w:val="24"/>
        </w:rPr>
        <w:t>eports of meetings and activities</w:t>
      </w:r>
    </w:p>
    <w:p w:rsidR="009E3DCB" w:rsidRDefault="009E3DCB" w:rsidP="009E3DCB">
      <w:pPr>
        <w:pStyle w:val="ListParagraph"/>
        <w:numPr>
          <w:ilvl w:val="0"/>
          <w:numId w:val="2"/>
        </w:numPr>
        <w:rPr>
          <w:sz w:val="24"/>
          <w:szCs w:val="24"/>
        </w:rPr>
      </w:pPr>
      <w:r w:rsidRPr="002F1D39">
        <w:rPr>
          <w:sz w:val="24"/>
          <w:szCs w:val="24"/>
        </w:rPr>
        <w:t>Field reports</w:t>
      </w:r>
    </w:p>
    <w:p w:rsidR="004D62A8" w:rsidRPr="007A7F66" w:rsidRDefault="004D62A8" w:rsidP="004D62A8">
      <w:pPr>
        <w:pStyle w:val="ListParagraph"/>
        <w:numPr>
          <w:ilvl w:val="0"/>
          <w:numId w:val="2"/>
        </w:numPr>
        <w:rPr>
          <w:sz w:val="24"/>
          <w:szCs w:val="24"/>
        </w:rPr>
      </w:pPr>
      <w:r>
        <w:rPr>
          <w:sz w:val="24"/>
          <w:szCs w:val="24"/>
        </w:rPr>
        <w:t xml:space="preserve">Report on </w:t>
      </w:r>
      <w:r w:rsidR="00486D96">
        <w:rPr>
          <w:sz w:val="24"/>
          <w:szCs w:val="24"/>
        </w:rPr>
        <w:t xml:space="preserve">how </w:t>
      </w:r>
      <w:r>
        <w:rPr>
          <w:sz w:val="24"/>
          <w:szCs w:val="24"/>
        </w:rPr>
        <w:t>best to link demand and supply</w:t>
      </w:r>
      <w:r w:rsidR="00486D96">
        <w:rPr>
          <w:sz w:val="24"/>
          <w:szCs w:val="24"/>
        </w:rPr>
        <w:t xml:space="preserve">- </w:t>
      </w:r>
      <w:r w:rsidR="00486D96">
        <w:t>After  Feb/March, would be good to see an overview of the demand side; what are the mechanisms etc. how does this work, and what do they expect from us, and how does this relate to our lessons/recommendations/product, what will be the entry point and follow up strategy?</w:t>
      </w:r>
    </w:p>
    <w:p w:rsidR="00460746" w:rsidRPr="002F1D39" w:rsidRDefault="009E3DCB" w:rsidP="00C324B7">
      <w:pPr>
        <w:pStyle w:val="ListParagraph"/>
        <w:numPr>
          <w:ilvl w:val="0"/>
          <w:numId w:val="2"/>
        </w:numPr>
        <w:rPr>
          <w:sz w:val="24"/>
          <w:szCs w:val="24"/>
        </w:rPr>
      </w:pPr>
      <w:r w:rsidRPr="002F1D39">
        <w:rPr>
          <w:sz w:val="24"/>
          <w:szCs w:val="24"/>
        </w:rPr>
        <w:t xml:space="preserve">Quarterly progress reports </w:t>
      </w:r>
    </w:p>
    <w:p w:rsidR="00EC6454" w:rsidRPr="002F1D39" w:rsidRDefault="00EC6454" w:rsidP="00EC6454">
      <w:pPr>
        <w:pStyle w:val="ListParagraph"/>
        <w:rPr>
          <w:sz w:val="24"/>
          <w:szCs w:val="24"/>
        </w:rPr>
      </w:pPr>
    </w:p>
    <w:p w:rsidR="00C324B7" w:rsidRPr="002F1D39" w:rsidRDefault="00C324B7" w:rsidP="00C324B7">
      <w:pPr>
        <w:rPr>
          <w:b/>
          <w:sz w:val="24"/>
          <w:szCs w:val="24"/>
        </w:rPr>
      </w:pPr>
      <w:r w:rsidRPr="002F1D39">
        <w:rPr>
          <w:b/>
          <w:sz w:val="24"/>
          <w:szCs w:val="24"/>
        </w:rPr>
        <w:t>Work plan</w:t>
      </w:r>
      <w:r w:rsidR="007B711B" w:rsidRPr="002F1D39">
        <w:rPr>
          <w:b/>
          <w:sz w:val="24"/>
          <w:szCs w:val="24"/>
        </w:rPr>
        <w:t>:</w:t>
      </w:r>
      <w:r w:rsidR="00823FF9" w:rsidRPr="002F1D39">
        <w:rPr>
          <w:b/>
          <w:sz w:val="24"/>
          <w:szCs w:val="24"/>
        </w:rPr>
        <w:t xml:space="preserve"> January to December 2013</w:t>
      </w:r>
    </w:p>
    <w:tbl>
      <w:tblPr>
        <w:tblStyle w:val="TableGrid"/>
        <w:tblW w:w="0" w:type="auto"/>
        <w:tblLook w:val="04A0" w:firstRow="1" w:lastRow="0" w:firstColumn="1" w:lastColumn="0" w:noHBand="0" w:noVBand="1"/>
      </w:tblPr>
      <w:tblGrid>
        <w:gridCol w:w="1524"/>
        <w:gridCol w:w="660"/>
        <w:gridCol w:w="534"/>
        <w:gridCol w:w="591"/>
        <w:gridCol w:w="658"/>
        <w:gridCol w:w="621"/>
        <w:gridCol w:w="632"/>
        <w:gridCol w:w="603"/>
        <w:gridCol w:w="474"/>
        <w:gridCol w:w="594"/>
        <w:gridCol w:w="787"/>
        <w:gridCol w:w="557"/>
        <w:gridCol w:w="606"/>
        <w:gridCol w:w="735"/>
      </w:tblGrid>
      <w:tr w:rsidR="007A7F66" w:rsidRPr="002F1D39" w:rsidTr="007B711B">
        <w:tc>
          <w:tcPr>
            <w:tcW w:w="1393" w:type="dxa"/>
          </w:tcPr>
          <w:p w:rsidR="007B711B" w:rsidRPr="002F1D39" w:rsidRDefault="007B711B" w:rsidP="00C324B7">
            <w:pPr>
              <w:rPr>
                <w:sz w:val="24"/>
                <w:szCs w:val="24"/>
              </w:rPr>
            </w:pPr>
            <w:r w:rsidRPr="002F1D39">
              <w:rPr>
                <w:sz w:val="24"/>
                <w:szCs w:val="24"/>
              </w:rPr>
              <w:lastRenderedPageBreak/>
              <w:t>Activities</w:t>
            </w:r>
          </w:p>
        </w:tc>
        <w:tc>
          <w:tcPr>
            <w:tcW w:w="522" w:type="dxa"/>
          </w:tcPr>
          <w:p w:rsidR="007B711B" w:rsidRPr="002F1D39" w:rsidRDefault="007B711B" w:rsidP="007B711B">
            <w:pPr>
              <w:rPr>
                <w:sz w:val="24"/>
                <w:szCs w:val="24"/>
              </w:rPr>
            </w:pPr>
          </w:p>
        </w:tc>
        <w:tc>
          <w:tcPr>
            <w:tcW w:w="1915" w:type="dxa"/>
            <w:gridSpan w:val="3"/>
          </w:tcPr>
          <w:p w:rsidR="007B711B" w:rsidRPr="002F1D39" w:rsidRDefault="007B711B" w:rsidP="00C324B7">
            <w:pPr>
              <w:rPr>
                <w:sz w:val="24"/>
                <w:szCs w:val="24"/>
              </w:rPr>
            </w:pPr>
            <w:r w:rsidRPr="002F1D39">
              <w:rPr>
                <w:sz w:val="24"/>
                <w:szCs w:val="24"/>
              </w:rPr>
              <w:t>1</w:t>
            </w:r>
            <w:r w:rsidRPr="002F1D39">
              <w:rPr>
                <w:sz w:val="24"/>
                <w:szCs w:val="24"/>
                <w:vertAlign w:val="superscript"/>
              </w:rPr>
              <w:t>st</w:t>
            </w:r>
            <w:r w:rsidRPr="002F1D39">
              <w:rPr>
                <w:sz w:val="24"/>
                <w:szCs w:val="24"/>
              </w:rPr>
              <w:t xml:space="preserve"> quarter</w:t>
            </w:r>
          </w:p>
        </w:tc>
        <w:tc>
          <w:tcPr>
            <w:tcW w:w="1915" w:type="dxa"/>
            <w:gridSpan w:val="3"/>
          </w:tcPr>
          <w:p w:rsidR="007B711B" w:rsidRPr="002F1D39" w:rsidRDefault="007B711B" w:rsidP="00C324B7">
            <w:pPr>
              <w:rPr>
                <w:sz w:val="24"/>
                <w:szCs w:val="24"/>
              </w:rPr>
            </w:pPr>
            <w:r w:rsidRPr="002F1D39">
              <w:rPr>
                <w:sz w:val="24"/>
                <w:szCs w:val="24"/>
              </w:rPr>
              <w:t>2</w:t>
            </w:r>
            <w:r w:rsidRPr="002F1D39">
              <w:rPr>
                <w:sz w:val="24"/>
                <w:szCs w:val="24"/>
                <w:vertAlign w:val="superscript"/>
              </w:rPr>
              <w:t>nd</w:t>
            </w:r>
            <w:r w:rsidRPr="002F1D39">
              <w:rPr>
                <w:sz w:val="24"/>
                <w:szCs w:val="24"/>
              </w:rPr>
              <w:t xml:space="preserve"> quarter</w:t>
            </w:r>
          </w:p>
        </w:tc>
        <w:tc>
          <w:tcPr>
            <w:tcW w:w="1915" w:type="dxa"/>
            <w:gridSpan w:val="3"/>
          </w:tcPr>
          <w:p w:rsidR="007B711B" w:rsidRPr="002F1D39" w:rsidRDefault="007B711B" w:rsidP="00C324B7">
            <w:pPr>
              <w:rPr>
                <w:sz w:val="24"/>
                <w:szCs w:val="24"/>
              </w:rPr>
            </w:pPr>
            <w:r w:rsidRPr="002F1D39">
              <w:rPr>
                <w:sz w:val="24"/>
                <w:szCs w:val="24"/>
              </w:rPr>
              <w:t>3</w:t>
            </w:r>
            <w:r w:rsidRPr="002F1D39">
              <w:rPr>
                <w:sz w:val="24"/>
                <w:szCs w:val="24"/>
                <w:vertAlign w:val="superscript"/>
              </w:rPr>
              <w:t>rd</w:t>
            </w:r>
            <w:r w:rsidRPr="002F1D39">
              <w:rPr>
                <w:sz w:val="24"/>
                <w:szCs w:val="24"/>
              </w:rPr>
              <w:t xml:space="preserve"> quarter</w:t>
            </w:r>
          </w:p>
        </w:tc>
        <w:tc>
          <w:tcPr>
            <w:tcW w:w="1916" w:type="dxa"/>
            <w:gridSpan w:val="3"/>
          </w:tcPr>
          <w:p w:rsidR="007B711B" w:rsidRPr="002F1D39" w:rsidRDefault="007B711B" w:rsidP="00C324B7">
            <w:pPr>
              <w:rPr>
                <w:sz w:val="24"/>
                <w:szCs w:val="24"/>
              </w:rPr>
            </w:pPr>
            <w:r w:rsidRPr="002F1D39">
              <w:rPr>
                <w:sz w:val="24"/>
                <w:szCs w:val="24"/>
              </w:rPr>
              <w:t>4</w:t>
            </w:r>
            <w:r w:rsidRPr="002F1D39">
              <w:rPr>
                <w:sz w:val="24"/>
                <w:szCs w:val="24"/>
                <w:vertAlign w:val="superscript"/>
              </w:rPr>
              <w:t>th</w:t>
            </w:r>
            <w:r w:rsidRPr="002F1D39">
              <w:rPr>
                <w:sz w:val="24"/>
                <w:szCs w:val="24"/>
              </w:rPr>
              <w:t xml:space="preserve"> quarter</w:t>
            </w:r>
          </w:p>
        </w:tc>
      </w:tr>
      <w:tr w:rsidR="00DF7D77" w:rsidRPr="002F1D39" w:rsidTr="007B711B">
        <w:tc>
          <w:tcPr>
            <w:tcW w:w="1393" w:type="dxa"/>
          </w:tcPr>
          <w:p w:rsidR="007B711B" w:rsidRPr="002F1D39" w:rsidRDefault="007B711B" w:rsidP="00C324B7">
            <w:pPr>
              <w:rPr>
                <w:sz w:val="24"/>
                <w:szCs w:val="24"/>
              </w:rPr>
            </w:pPr>
          </w:p>
        </w:tc>
        <w:tc>
          <w:tcPr>
            <w:tcW w:w="522" w:type="dxa"/>
          </w:tcPr>
          <w:p w:rsidR="007B711B" w:rsidRPr="002F1D39" w:rsidRDefault="00460746" w:rsidP="00C324B7">
            <w:pPr>
              <w:rPr>
                <w:sz w:val="24"/>
                <w:szCs w:val="24"/>
              </w:rPr>
            </w:pPr>
            <w:r w:rsidRPr="002F1D39">
              <w:rPr>
                <w:sz w:val="24"/>
                <w:szCs w:val="24"/>
              </w:rPr>
              <w:t xml:space="preserve"># of </w:t>
            </w:r>
            <w:r w:rsidR="00AA4F4B" w:rsidRPr="002F1D39">
              <w:rPr>
                <w:sz w:val="24"/>
                <w:szCs w:val="24"/>
              </w:rPr>
              <w:t>days</w:t>
            </w:r>
          </w:p>
        </w:tc>
        <w:tc>
          <w:tcPr>
            <w:tcW w:w="459" w:type="dxa"/>
          </w:tcPr>
          <w:p w:rsidR="007B711B" w:rsidRPr="002F1D39" w:rsidRDefault="007B711B" w:rsidP="00C324B7">
            <w:pPr>
              <w:rPr>
                <w:sz w:val="24"/>
                <w:szCs w:val="24"/>
              </w:rPr>
            </w:pPr>
            <w:r w:rsidRPr="002F1D39">
              <w:rPr>
                <w:sz w:val="24"/>
                <w:szCs w:val="24"/>
              </w:rPr>
              <w:t>Jan</w:t>
            </w:r>
          </w:p>
        </w:tc>
        <w:tc>
          <w:tcPr>
            <w:tcW w:w="617" w:type="dxa"/>
          </w:tcPr>
          <w:p w:rsidR="007B711B" w:rsidRPr="002F1D39" w:rsidRDefault="007B711B" w:rsidP="00C324B7">
            <w:pPr>
              <w:rPr>
                <w:sz w:val="24"/>
                <w:szCs w:val="24"/>
              </w:rPr>
            </w:pPr>
            <w:r w:rsidRPr="002F1D39">
              <w:rPr>
                <w:sz w:val="24"/>
                <w:szCs w:val="24"/>
              </w:rPr>
              <w:t>Feb</w:t>
            </w:r>
          </w:p>
        </w:tc>
        <w:tc>
          <w:tcPr>
            <w:tcW w:w="839" w:type="dxa"/>
          </w:tcPr>
          <w:p w:rsidR="007B711B" w:rsidRPr="002F1D39" w:rsidRDefault="007B711B" w:rsidP="00C324B7">
            <w:pPr>
              <w:rPr>
                <w:sz w:val="24"/>
                <w:szCs w:val="24"/>
              </w:rPr>
            </w:pPr>
            <w:r w:rsidRPr="002F1D39">
              <w:rPr>
                <w:sz w:val="24"/>
                <w:szCs w:val="24"/>
              </w:rPr>
              <w:t>ma</w:t>
            </w:r>
          </w:p>
        </w:tc>
        <w:tc>
          <w:tcPr>
            <w:tcW w:w="696" w:type="dxa"/>
          </w:tcPr>
          <w:p w:rsidR="007B711B" w:rsidRPr="002F1D39" w:rsidRDefault="007B711B" w:rsidP="00C324B7">
            <w:pPr>
              <w:rPr>
                <w:sz w:val="24"/>
                <w:szCs w:val="24"/>
              </w:rPr>
            </w:pPr>
            <w:r w:rsidRPr="002F1D39">
              <w:rPr>
                <w:sz w:val="24"/>
                <w:szCs w:val="24"/>
              </w:rPr>
              <w:t>Apr</w:t>
            </w:r>
          </w:p>
        </w:tc>
        <w:tc>
          <w:tcPr>
            <w:tcW w:w="538" w:type="dxa"/>
          </w:tcPr>
          <w:p w:rsidR="007B711B" w:rsidRPr="002F1D39" w:rsidRDefault="007B711B" w:rsidP="00C324B7">
            <w:pPr>
              <w:rPr>
                <w:sz w:val="24"/>
                <w:szCs w:val="24"/>
              </w:rPr>
            </w:pPr>
            <w:r w:rsidRPr="002F1D39">
              <w:rPr>
                <w:sz w:val="24"/>
                <w:szCs w:val="24"/>
              </w:rPr>
              <w:t>may</w:t>
            </w:r>
          </w:p>
        </w:tc>
        <w:tc>
          <w:tcPr>
            <w:tcW w:w="681" w:type="dxa"/>
          </w:tcPr>
          <w:p w:rsidR="007B711B" w:rsidRPr="002F1D39" w:rsidRDefault="007B711B" w:rsidP="00C324B7">
            <w:pPr>
              <w:rPr>
                <w:sz w:val="24"/>
                <w:szCs w:val="24"/>
              </w:rPr>
            </w:pPr>
            <w:r w:rsidRPr="002F1D39">
              <w:rPr>
                <w:sz w:val="24"/>
                <w:szCs w:val="24"/>
              </w:rPr>
              <w:t>Jun</w:t>
            </w:r>
          </w:p>
        </w:tc>
        <w:tc>
          <w:tcPr>
            <w:tcW w:w="380" w:type="dxa"/>
          </w:tcPr>
          <w:p w:rsidR="007B711B" w:rsidRPr="002F1D39" w:rsidRDefault="007B711B" w:rsidP="00C324B7">
            <w:pPr>
              <w:rPr>
                <w:sz w:val="24"/>
                <w:szCs w:val="24"/>
              </w:rPr>
            </w:pPr>
            <w:r w:rsidRPr="002F1D39">
              <w:rPr>
                <w:sz w:val="24"/>
                <w:szCs w:val="24"/>
              </w:rPr>
              <w:t>Jul</w:t>
            </w:r>
          </w:p>
        </w:tc>
        <w:tc>
          <w:tcPr>
            <w:tcW w:w="570" w:type="dxa"/>
          </w:tcPr>
          <w:p w:rsidR="007B711B" w:rsidRPr="002F1D39" w:rsidRDefault="007B711B" w:rsidP="00C324B7">
            <w:pPr>
              <w:rPr>
                <w:sz w:val="24"/>
                <w:szCs w:val="24"/>
              </w:rPr>
            </w:pPr>
            <w:r w:rsidRPr="002F1D39">
              <w:rPr>
                <w:sz w:val="24"/>
                <w:szCs w:val="24"/>
              </w:rPr>
              <w:t>Aug</w:t>
            </w:r>
          </w:p>
        </w:tc>
        <w:tc>
          <w:tcPr>
            <w:tcW w:w="965" w:type="dxa"/>
          </w:tcPr>
          <w:p w:rsidR="007B711B" w:rsidRPr="002F1D39" w:rsidRDefault="007B711B" w:rsidP="00C324B7">
            <w:pPr>
              <w:rPr>
                <w:sz w:val="24"/>
                <w:szCs w:val="24"/>
              </w:rPr>
            </w:pPr>
            <w:r w:rsidRPr="002F1D39">
              <w:rPr>
                <w:sz w:val="24"/>
                <w:szCs w:val="24"/>
              </w:rPr>
              <w:t>Sept</w:t>
            </w:r>
          </w:p>
        </w:tc>
        <w:tc>
          <w:tcPr>
            <w:tcW w:w="380" w:type="dxa"/>
          </w:tcPr>
          <w:p w:rsidR="007B711B" w:rsidRPr="002F1D39" w:rsidRDefault="007B711B" w:rsidP="00C324B7">
            <w:pPr>
              <w:rPr>
                <w:sz w:val="24"/>
                <w:szCs w:val="24"/>
              </w:rPr>
            </w:pPr>
            <w:r w:rsidRPr="002F1D39">
              <w:rPr>
                <w:sz w:val="24"/>
                <w:szCs w:val="24"/>
              </w:rPr>
              <w:t>Oct</w:t>
            </w:r>
          </w:p>
        </w:tc>
        <w:tc>
          <w:tcPr>
            <w:tcW w:w="601" w:type="dxa"/>
          </w:tcPr>
          <w:p w:rsidR="007B711B" w:rsidRPr="002F1D39" w:rsidRDefault="007B711B" w:rsidP="00C324B7">
            <w:pPr>
              <w:rPr>
                <w:sz w:val="24"/>
                <w:szCs w:val="24"/>
              </w:rPr>
            </w:pPr>
            <w:r w:rsidRPr="002F1D39">
              <w:rPr>
                <w:sz w:val="24"/>
                <w:szCs w:val="24"/>
              </w:rPr>
              <w:t>Nov</w:t>
            </w:r>
          </w:p>
        </w:tc>
        <w:tc>
          <w:tcPr>
            <w:tcW w:w="935" w:type="dxa"/>
          </w:tcPr>
          <w:p w:rsidR="007B711B" w:rsidRPr="002F1D39" w:rsidRDefault="007B711B" w:rsidP="00C324B7">
            <w:pPr>
              <w:rPr>
                <w:sz w:val="24"/>
                <w:szCs w:val="24"/>
              </w:rPr>
            </w:pPr>
            <w:r w:rsidRPr="002F1D39">
              <w:rPr>
                <w:sz w:val="24"/>
                <w:szCs w:val="24"/>
              </w:rPr>
              <w:t>Dec</w:t>
            </w:r>
          </w:p>
        </w:tc>
      </w:tr>
      <w:tr w:rsidR="00DF7D77" w:rsidRPr="002F1D39" w:rsidTr="00166ED0">
        <w:tc>
          <w:tcPr>
            <w:tcW w:w="1393" w:type="dxa"/>
          </w:tcPr>
          <w:p w:rsidR="007B711B" w:rsidRPr="002F1D39" w:rsidRDefault="00753C67" w:rsidP="00C324B7">
            <w:pPr>
              <w:rPr>
                <w:sz w:val="24"/>
                <w:szCs w:val="24"/>
              </w:rPr>
            </w:pPr>
            <w:r w:rsidRPr="002F1D39">
              <w:rPr>
                <w:sz w:val="24"/>
                <w:szCs w:val="24"/>
              </w:rPr>
              <w:t>Consultation at national level</w:t>
            </w:r>
          </w:p>
        </w:tc>
        <w:tc>
          <w:tcPr>
            <w:tcW w:w="522" w:type="dxa"/>
          </w:tcPr>
          <w:p w:rsidR="007B711B" w:rsidRPr="002F1D39" w:rsidRDefault="00681D27" w:rsidP="00C324B7">
            <w:pPr>
              <w:rPr>
                <w:sz w:val="24"/>
                <w:szCs w:val="24"/>
              </w:rPr>
            </w:pPr>
            <w:r w:rsidRPr="002F1D39">
              <w:rPr>
                <w:sz w:val="24"/>
                <w:szCs w:val="24"/>
              </w:rPr>
              <w:t>5</w:t>
            </w:r>
          </w:p>
        </w:tc>
        <w:tc>
          <w:tcPr>
            <w:tcW w:w="459" w:type="dxa"/>
            <w:shd w:val="clear" w:color="auto" w:fill="92CDDC" w:themeFill="accent5" w:themeFillTint="99"/>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shd w:val="clear" w:color="auto" w:fill="92CDDC" w:themeFill="accent5" w:themeFillTint="99"/>
          </w:tcPr>
          <w:p w:rsidR="007B711B" w:rsidRPr="002F1D39" w:rsidRDefault="007B711B" w:rsidP="00C324B7">
            <w:pPr>
              <w:rPr>
                <w:sz w:val="24"/>
                <w:szCs w:val="24"/>
              </w:rPr>
            </w:pPr>
          </w:p>
        </w:tc>
        <w:tc>
          <w:tcPr>
            <w:tcW w:w="696" w:type="dxa"/>
            <w:shd w:val="clear" w:color="auto" w:fill="92CDDC" w:themeFill="accent5" w:themeFillTint="99"/>
          </w:tcPr>
          <w:p w:rsidR="007B711B" w:rsidRPr="002F1D39" w:rsidRDefault="007B711B" w:rsidP="00C324B7">
            <w:pPr>
              <w:rPr>
                <w:sz w:val="24"/>
                <w:szCs w:val="24"/>
              </w:rPr>
            </w:pPr>
          </w:p>
        </w:tc>
        <w:tc>
          <w:tcPr>
            <w:tcW w:w="538" w:type="dxa"/>
            <w:shd w:val="clear" w:color="auto" w:fill="92CDDC" w:themeFill="accent5" w:themeFillTint="99"/>
          </w:tcPr>
          <w:p w:rsidR="007B711B" w:rsidRPr="002F1D39" w:rsidRDefault="007B711B" w:rsidP="00C324B7">
            <w:pPr>
              <w:rPr>
                <w:sz w:val="24"/>
                <w:szCs w:val="24"/>
              </w:rPr>
            </w:pPr>
          </w:p>
        </w:tc>
        <w:tc>
          <w:tcPr>
            <w:tcW w:w="681" w:type="dxa"/>
          </w:tcPr>
          <w:p w:rsidR="007B711B" w:rsidRPr="002F1D39" w:rsidRDefault="007B711B" w:rsidP="00C324B7">
            <w:pPr>
              <w:rPr>
                <w:sz w:val="24"/>
                <w:szCs w:val="24"/>
              </w:rPr>
            </w:pPr>
          </w:p>
        </w:tc>
        <w:tc>
          <w:tcPr>
            <w:tcW w:w="380" w:type="dxa"/>
          </w:tcPr>
          <w:p w:rsidR="007B711B" w:rsidRPr="002F1D39" w:rsidRDefault="007B711B" w:rsidP="00C324B7">
            <w:pPr>
              <w:rPr>
                <w:sz w:val="24"/>
                <w:szCs w:val="24"/>
              </w:rPr>
            </w:pPr>
          </w:p>
        </w:tc>
        <w:tc>
          <w:tcPr>
            <w:tcW w:w="570" w:type="dxa"/>
          </w:tcPr>
          <w:p w:rsidR="007B711B" w:rsidRPr="002F1D39" w:rsidRDefault="007B711B" w:rsidP="00C324B7">
            <w:pPr>
              <w:rPr>
                <w:sz w:val="24"/>
                <w:szCs w:val="24"/>
              </w:rPr>
            </w:pPr>
          </w:p>
        </w:tc>
        <w:tc>
          <w:tcPr>
            <w:tcW w:w="965" w:type="dxa"/>
          </w:tcPr>
          <w:p w:rsidR="007B711B" w:rsidRPr="002F1D39" w:rsidRDefault="007B711B" w:rsidP="00C324B7">
            <w:pPr>
              <w:rPr>
                <w:sz w:val="24"/>
                <w:szCs w:val="24"/>
              </w:rPr>
            </w:pPr>
          </w:p>
        </w:tc>
        <w:tc>
          <w:tcPr>
            <w:tcW w:w="380" w:type="dxa"/>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DF7D77" w:rsidRPr="002F1D39" w:rsidTr="00AA4F4B">
        <w:tc>
          <w:tcPr>
            <w:tcW w:w="1393" w:type="dxa"/>
          </w:tcPr>
          <w:p w:rsidR="007B711B" w:rsidRPr="002F1D39" w:rsidRDefault="00AA4F4B" w:rsidP="00C324B7">
            <w:pPr>
              <w:rPr>
                <w:sz w:val="24"/>
                <w:szCs w:val="24"/>
              </w:rPr>
            </w:pPr>
            <w:r w:rsidRPr="002F1D39">
              <w:rPr>
                <w:sz w:val="24"/>
                <w:szCs w:val="24"/>
              </w:rPr>
              <w:t>Regional level consultation</w:t>
            </w:r>
            <w:r w:rsidR="00681D27" w:rsidRPr="002F1D39">
              <w:rPr>
                <w:sz w:val="24"/>
                <w:szCs w:val="24"/>
              </w:rPr>
              <w:t>s</w:t>
            </w:r>
            <w:r w:rsidR="00DF7D77">
              <w:rPr>
                <w:sz w:val="24"/>
                <w:szCs w:val="24"/>
              </w:rPr>
              <w:t xml:space="preserve"> and follow up ( formal and informal)</w:t>
            </w:r>
          </w:p>
        </w:tc>
        <w:tc>
          <w:tcPr>
            <w:tcW w:w="522" w:type="dxa"/>
          </w:tcPr>
          <w:p w:rsidR="007B711B" w:rsidRPr="002F1D39" w:rsidRDefault="00681D27" w:rsidP="00C324B7">
            <w:pPr>
              <w:rPr>
                <w:sz w:val="24"/>
                <w:szCs w:val="24"/>
              </w:rPr>
            </w:pPr>
            <w:r w:rsidRPr="002F1D39">
              <w:rPr>
                <w:sz w:val="24"/>
                <w:szCs w:val="24"/>
              </w:rPr>
              <w:t>6</w:t>
            </w:r>
          </w:p>
        </w:tc>
        <w:tc>
          <w:tcPr>
            <w:tcW w:w="459" w:type="dxa"/>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shd w:val="clear" w:color="auto" w:fill="92CDDC" w:themeFill="accent5" w:themeFillTint="99"/>
          </w:tcPr>
          <w:p w:rsidR="007B711B" w:rsidRPr="002F1D39" w:rsidRDefault="007B711B" w:rsidP="00C324B7">
            <w:pPr>
              <w:rPr>
                <w:sz w:val="24"/>
                <w:szCs w:val="24"/>
              </w:rPr>
            </w:pPr>
          </w:p>
        </w:tc>
        <w:tc>
          <w:tcPr>
            <w:tcW w:w="696" w:type="dxa"/>
            <w:shd w:val="clear" w:color="auto" w:fill="92CDDC" w:themeFill="accent5" w:themeFillTint="99"/>
          </w:tcPr>
          <w:p w:rsidR="007B711B" w:rsidRPr="002F1D39" w:rsidRDefault="007B711B" w:rsidP="00C324B7">
            <w:pPr>
              <w:rPr>
                <w:sz w:val="24"/>
                <w:szCs w:val="24"/>
              </w:rPr>
            </w:pPr>
          </w:p>
        </w:tc>
        <w:tc>
          <w:tcPr>
            <w:tcW w:w="538" w:type="dxa"/>
          </w:tcPr>
          <w:p w:rsidR="007B711B" w:rsidRPr="002F1D39" w:rsidRDefault="007B711B" w:rsidP="00C324B7">
            <w:pPr>
              <w:rPr>
                <w:sz w:val="24"/>
                <w:szCs w:val="24"/>
              </w:rPr>
            </w:pPr>
          </w:p>
        </w:tc>
        <w:tc>
          <w:tcPr>
            <w:tcW w:w="681" w:type="dxa"/>
          </w:tcPr>
          <w:p w:rsidR="007B711B" w:rsidRPr="00166ED0" w:rsidRDefault="007B711B" w:rsidP="00C324B7">
            <w:pPr>
              <w:rPr>
                <w:color w:val="00B0F0"/>
                <w:sz w:val="24"/>
                <w:szCs w:val="24"/>
              </w:rPr>
            </w:pPr>
          </w:p>
        </w:tc>
        <w:tc>
          <w:tcPr>
            <w:tcW w:w="380" w:type="dxa"/>
          </w:tcPr>
          <w:p w:rsidR="007B711B" w:rsidRPr="00166ED0" w:rsidRDefault="007B711B" w:rsidP="00C324B7">
            <w:pPr>
              <w:rPr>
                <w:color w:val="00B0F0"/>
                <w:sz w:val="24"/>
                <w:szCs w:val="24"/>
              </w:rPr>
            </w:pPr>
          </w:p>
        </w:tc>
        <w:tc>
          <w:tcPr>
            <w:tcW w:w="570" w:type="dxa"/>
          </w:tcPr>
          <w:p w:rsidR="007B711B" w:rsidRPr="00166ED0" w:rsidRDefault="007B711B" w:rsidP="00C324B7">
            <w:pPr>
              <w:rPr>
                <w:color w:val="00B0F0"/>
                <w:sz w:val="24"/>
                <w:szCs w:val="24"/>
              </w:rPr>
            </w:pPr>
          </w:p>
        </w:tc>
        <w:tc>
          <w:tcPr>
            <w:tcW w:w="965" w:type="dxa"/>
          </w:tcPr>
          <w:p w:rsidR="007B711B" w:rsidRPr="007A7F66" w:rsidRDefault="007B711B" w:rsidP="00C324B7">
            <w:pPr>
              <w:rPr>
                <w:color w:val="00B0F0"/>
                <w:sz w:val="24"/>
                <w:szCs w:val="24"/>
              </w:rPr>
            </w:pPr>
          </w:p>
        </w:tc>
        <w:tc>
          <w:tcPr>
            <w:tcW w:w="380" w:type="dxa"/>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7A7F66" w:rsidRPr="002F1D39" w:rsidTr="006C1168">
        <w:tc>
          <w:tcPr>
            <w:tcW w:w="1393" w:type="dxa"/>
          </w:tcPr>
          <w:p w:rsidR="007B711B" w:rsidRPr="002F1D39" w:rsidRDefault="006C1168" w:rsidP="00C324B7">
            <w:pPr>
              <w:rPr>
                <w:sz w:val="24"/>
                <w:szCs w:val="24"/>
              </w:rPr>
            </w:pPr>
            <w:r w:rsidRPr="002F1D39">
              <w:rPr>
                <w:sz w:val="24"/>
                <w:szCs w:val="24"/>
              </w:rPr>
              <w:t>Attend monthly meetings of NBDC</w:t>
            </w:r>
            <w:r w:rsidR="00DF7D77">
              <w:rPr>
                <w:sz w:val="24"/>
                <w:szCs w:val="24"/>
              </w:rPr>
              <w:t xml:space="preserve"> including preparation, preparatory meetings, exchange of information and follow up of </w:t>
            </w:r>
            <w:r w:rsidR="007A7F66">
              <w:rPr>
                <w:sz w:val="24"/>
                <w:szCs w:val="24"/>
              </w:rPr>
              <w:t>decisions</w:t>
            </w:r>
          </w:p>
        </w:tc>
        <w:tc>
          <w:tcPr>
            <w:tcW w:w="522" w:type="dxa"/>
          </w:tcPr>
          <w:p w:rsidR="007B711B" w:rsidRPr="002F1D39" w:rsidRDefault="006C1168" w:rsidP="00C324B7">
            <w:pPr>
              <w:rPr>
                <w:sz w:val="24"/>
                <w:szCs w:val="24"/>
              </w:rPr>
            </w:pPr>
            <w:r w:rsidRPr="002F1D39">
              <w:rPr>
                <w:sz w:val="24"/>
                <w:szCs w:val="24"/>
              </w:rPr>
              <w:t>12</w:t>
            </w:r>
          </w:p>
        </w:tc>
        <w:tc>
          <w:tcPr>
            <w:tcW w:w="459" w:type="dxa"/>
            <w:shd w:val="clear" w:color="auto" w:fill="92CDDC" w:themeFill="accent5" w:themeFillTint="99"/>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shd w:val="clear" w:color="auto" w:fill="92CDDC" w:themeFill="accent5" w:themeFillTint="99"/>
          </w:tcPr>
          <w:p w:rsidR="007B711B" w:rsidRPr="002F1D39" w:rsidRDefault="007B711B" w:rsidP="00C324B7">
            <w:pPr>
              <w:rPr>
                <w:sz w:val="24"/>
                <w:szCs w:val="24"/>
              </w:rPr>
            </w:pPr>
          </w:p>
        </w:tc>
        <w:tc>
          <w:tcPr>
            <w:tcW w:w="696" w:type="dxa"/>
            <w:shd w:val="clear" w:color="auto" w:fill="92CDDC" w:themeFill="accent5" w:themeFillTint="99"/>
          </w:tcPr>
          <w:p w:rsidR="007B711B" w:rsidRPr="002F1D39" w:rsidRDefault="007B711B" w:rsidP="00C324B7">
            <w:pPr>
              <w:rPr>
                <w:sz w:val="24"/>
                <w:szCs w:val="24"/>
              </w:rPr>
            </w:pPr>
          </w:p>
        </w:tc>
        <w:tc>
          <w:tcPr>
            <w:tcW w:w="538" w:type="dxa"/>
            <w:shd w:val="clear" w:color="auto" w:fill="92CDDC" w:themeFill="accent5" w:themeFillTint="99"/>
          </w:tcPr>
          <w:p w:rsidR="007B711B" w:rsidRPr="002F1D39" w:rsidRDefault="007B711B" w:rsidP="00C324B7">
            <w:pPr>
              <w:rPr>
                <w:sz w:val="24"/>
                <w:szCs w:val="24"/>
              </w:rPr>
            </w:pPr>
          </w:p>
        </w:tc>
        <w:tc>
          <w:tcPr>
            <w:tcW w:w="681" w:type="dxa"/>
            <w:shd w:val="clear" w:color="auto" w:fill="92CDDC" w:themeFill="accent5" w:themeFillTint="99"/>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570" w:type="dxa"/>
            <w:shd w:val="clear" w:color="auto" w:fill="92CDDC" w:themeFill="accent5" w:themeFillTint="99"/>
          </w:tcPr>
          <w:p w:rsidR="007B711B" w:rsidRPr="002F1D39" w:rsidRDefault="007B711B" w:rsidP="00C324B7">
            <w:pPr>
              <w:rPr>
                <w:sz w:val="24"/>
                <w:szCs w:val="24"/>
              </w:rPr>
            </w:pPr>
          </w:p>
        </w:tc>
        <w:tc>
          <w:tcPr>
            <w:tcW w:w="965" w:type="dxa"/>
            <w:shd w:val="clear" w:color="auto" w:fill="92CDDC" w:themeFill="accent5" w:themeFillTint="99"/>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601" w:type="dxa"/>
            <w:shd w:val="clear" w:color="auto" w:fill="92CDDC" w:themeFill="accent5" w:themeFillTint="99"/>
          </w:tcPr>
          <w:p w:rsidR="007B711B" w:rsidRPr="002F1D39" w:rsidRDefault="007B711B" w:rsidP="00C324B7">
            <w:pPr>
              <w:rPr>
                <w:sz w:val="24"/>
                <w:szCs w:val="24"/>
              </w:rPr>
            </w:pPr>
          </w:p>
        </w:tc>
        <w:tc>
          <w:tcPr>
            <w:tcW w:w="935" w:type="dxa"/>
            <w:shd w:val="clear" w:color="auto" w:fill="92CDDC" w:themeFill="accent5" w:themeFillTint="99"/>
          </w:tcPr>
          <w:p w:rsidR="007B711B" w:rsidRPr="002F1D39" w:rsidRDefault="007B711B" w:rsidP="00C324B7">
            <w:pPr>
              <w:rPr>
                <w:sz w:val="24"/>
                <w:szCs w:val="24"/>
              </w:rPr>
            </w:pPr>
          </w:p>
        </w:tc>
      </w:tr>
      <w:tr w:rsidR="00DF7D77" w:rsidRPr="002F1D39" w:rsidTr="006C1168">
        <w:tc>
          <w:tcPr>
            <w:tcW w:w="1393" w:type="dxa"/>
          </w:tcPr>
          <w:p w:rsidR="007B711B" w:rsidRPr="002F1D39" w:rsidRDefault="006C1168" w:rsidP="00C324B7">
            <w:pPr>
              <w:rPr>
                <w:sz w:val="24"/>
                <w:szCs w:val="24"/>
              </w:rPr>
            </w:pPr>
            <w:r w:rsidRPr="002F1D39">
              <w:rPr>
                <w:sz w:val="24"/>
                <w:szCs w:val="24"/>
              </w:rPr>
              <w:t>Attend SC meetings</w:t>
            </w:r>
            <w:r w:rsidR="00DF7D77">
              <w:rPr>
                <w:sz w:val="24"/>
                <w:szCs w:val="24"/>
              </w:rPr>
              <w:t>- preparation for SC meeting, attend, follow up</w:t>
            </w:r>
          </w:p>
        </w:tc>
        <w:tc>
          <w:tcPr>
            <w:tcW w:w="522" w:type="dxa"/>
          </w:tcPr>
          <w:p w:rsidR="007B711B" w:rsidRPr="002F1D39" w:rsidRDefault="006C1168" w:rsidP="00C324B7">
            <w:pPr>
              <w:rPr>
                <w:sz w:val="24"/>
                <w:szCs w:val="24"/>
              </w:rPr>
            </w:pPr>
            <w:r w:rsidRPr="002F1D39">
              <w:rPr>
                <w:sz w:val="24"/>
                <w:szCs w:val="24"/>
              </w:rPr>
              <w:t>4</w:t>
            </w:r>
          </w:p>
        </w:tc>
        <w:tc>
          <w:tcPr>
            <w:tcW w:w="459" w:type="dxa"/>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tcPr>
          <w:p w:rsidR="007B711B" w:rsidRPr="002F1D39" w:rsidRDefault="007B711B" w:rsidP="00C324B7">
            <w:pPr>
              <w:rPr>
                <w:sz w:val="24"/>
                <w:szCs w:val="24"/>
              </w:rPr>
            </w:pPr>
          </w:p>
        </w:tc>
        <w:tc>
          <w:tcPr>
            <w:tcW w:w="696" w:type="dxa"/>
          </w:tcPr>
          <w:p w:rsidR="007B711B" w:rsidRPr="002F1D39" w:rsidRDefault="007B711B" w:rsidP="00C324B7">
            <w:pPr>
              <w:rPr>
                <w:sz w:val="24"/>
                <w:szCs w:val="24"/>
              </w:rPr>
            </w:pPr>
          </w:p>
        </w:tc>
        <w:tc>
          <w:tcPr>
            <w:tcW w:w="538" w:type="dxa"/>
            <w:shd w:val="clear" w:color="auto" w:fill="92CDDC" w:themeFill="accent5" w:themeFillTint="99"/>
          </w:tcPr>
          <w:p w:rsidR="007B711B" w:rsidRPr="002F1D39" w:rsidRDefault="007B711B" w:rsidP="00C324B7">
            <w:pPr>
              <w:rPr>
                <w:sz w:val="24"/>
                <w:szCs w:val="24"/>
              </w:rPr>
            </w:pPr>
          </w:p>
        </w:tc>
        <w:tc>
          <w:tcPr>
            <w:tcW w:w="681" w:type="dxa"/>
          </w:tcPr>
          <w:p w:rsidR="007B711B" w:rsidRPr="002F1D39" w:rsidRDefault="007B711B" w:rsidP="00C324B7">
            <w:pPr>
              <w:rPr>
                <w:sz w:val="24"/>
                <w:szCs w:val="24"/>
              </w:rPr>
            </w:pPr>
          </w:p>
        </w:tc>
        <w:tc>
          <w:tcPr>
            <w:tcW w:w="380" w:type="dxa"/>
          </w:tcPr>
          <w:p w:rsidR="007B711B" w:rsidRPr="002F1D39" w:rsidRDefault="007B711B" w:rsidP="00C324B7">
            <w:pPr>
              <w:rPr>
                <w:sz w:val="24"/>
                <w:szCs w:val="24"/>
              </w:rPr>
            </w:pPr>
          </w:p>
        </w:tc>
        <w:tc>
          <w:tcPr>
            <w:tcW w:w="570" w:type="dxa"/>
            <w:shd w:val="clear" w:color="auto" w:fill="92CDDC" w:themeFill="accent5" w:themeFillTint="99"/>
          </w:tcPr>
          <w:p w:rsidR="007B711B" w:rsidRPr="002F1D39" w:rsidRDefault="007B711B" w:rsidP="00C324B7">
            <w:pPr>
              <w:rPr>
                <w:sz w:val="24"/>
                <w:szCs w:val="24"/>
              </w:rPr>
            </w:pPr>
          </w:p>
        </w:tc>
        <w:tc>
          <w:tcPr>
            <w:tcW w:w="965" w:type="dxa"/>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DF7D77" w:rsidRPr="002F1D39" w:rsidTr="00681D27">
        <w:tc>
          <w:tcPr>
            <w:tcW w:w="1393" w:type="dxa"/>
          </w:tcPr>
          <w:p w:rsidR="007B711B" w:rsidRPr="002F1D39" w:rsidRDefault="006C1168" w:rsidP="00C324B7">
            <w:pPr>
              <w:rPr>
                <w:sz w:val="24"/>
                <w:szCs w:val="24"/>
              </w:rPr>
            </w:pPr>
            <w:r w:rsidRPr="002F1D39">
              <w:rPr>
                <w:sz w:val="24"/>
                <w:szCs w:val="24"/>
              </w:rPr>
              <w:t>Attend learning events</w:t>
            </w:r>
          </w:p>
        </w:tc>
        <w:tc>
          <w:tcPr>
            <w:tcW w:w="522" w:type="dxa"/>
          </w:tcPr>
          <w:p w:rsidR="007B711B" w:rsidRPr="002F1D39" w:rsidRDefault="00681D27" w:rsidP="00C324B7">
            <w:pPr>
              <w:rPr>
                <w:sz w:val="24"/>
                <w:szCs w:val="24"/>
              </w:rPr>
            </w:pPr>
            <w:r w:rsidRPr="002F1D39">
              <w:rPr>
                <w:sz w:val="24"/>
                <w:szCs w:val="24"/>
              </w:rPr>
              <w:t>4</w:t>
            </w:r>
          </w:p>
        </w:tc>
        <w:tc>
          <w:tcPr>
            <w:tcW w:w="459" w:type="dxa"/>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tcPr>
          <w:p w:rsidR="007B711B" w:rsidRPr="002F1D39" w:rsidRDefault="007B711B" w:rsidP="00C324B7">
            <w:pPr>
              <w:rPr>
                <w:sz w:val="24"/>
                <w:szCs w:val="24"/>
              </w:rPr>
            </w:pPr>
          </w:p>
        </w:tc>
        <w:tc>
          <w:tcPr>
            <w:tcW w:w="696" w:type="dxa"/>
            <w:shd w:val="clear" w:color="auto" w:fill="92CDDC" w:themeFill="accent5" w:themeFillTint="99"/>
          </w:tcPr>
          <w:p w:rsidR="007B711B" w:rsidRPr="002F1D39" w:rsidRDefault="007B711B" w:rsidP="00C324B7">
            <w:pPr>
              <w:rPr>
                <w:sz w:val="24"/>
                <w:szCs w:val="24"/>
              </w:rPr>
            </w:pPr>
          </w:p>
        </w:tc>
        <w:tc>
          <w:tcPr>
            <w:tcW w:w="538" w:type="dxa"/>
          </w:tcPr>
          <w:p w:rsidR="007B711B" w:rsidRPr="002F1D39" w:rsidRDefault="007B711B" w:rsidP="00C324B7">
            <w:pPr>
              <w:rPr>
                <w:sz w:val="24"/>
                <w:szCs w:val="24"/>
              </w:rPr>
            </w:pPr>
          </w:p>
        </w:tc>
        <w:tc>
          <w:tcPr>
            <w:tcW w:w="681" w:type="dxa"/>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570" w:type="dxa"/>
          </w:tcPr>
          <w:p w:rsidR="007B711B" w:rsidRPr="002F1D39" w:rsidRDefault="007B711B" w:rsidP="00C324B7">
            <w:pPr>
              <w:rPr>
                <w:sz w:val="24"/>
                <w:szCs w:val="24"/>
              </w:rPr>
            </w:pPr>
          </w:p>
        </w:tc>
        <w:tc>
          <w:tcPr>
            <w:tcW w:w="965" w:type="dxa"/>
            <w:shd w:val="clear" w:color="auto" w:fill="92CDDC" w:themeFill="accent5" w:themeFillTint="99"/>
          </w:tcPr>
          <w:p w:rsidR="007B711B" w:rsidRPr="002F1D39" w:rsidRDefault="007B711B" w:rsidP="00C324B7">
            <w:pPr>
              <w:rPr>
                <w:sz w:val="24"/>
                <w:szCs w:val="24"/>
              </w:rPr>
            </w:pPr>
          </w:p>
        </w:tc>
        <w:tc>
          <w:tcPr>
            <w:tcW w:w="380" w:type="dxa"/>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166ED0" w:rsidRPr="002F1D39" w:rsidTr="00166ED0">
        <w:tc>
          <w:tcPr>
            <w:tcW w:w="1393" w:type="dxa"/>
          </w:tcPr>
          <w:p w:rsidR="007B711B" w:rsidRPr="002F1D39" w:rsidRDefault="006C1168" w:rsidP="00C324B7">
            <w:pPr>
              <w:rPr>
                <w:sz w:val="24"/>
                <w:szCs w:val="24"/>
              </w:rPr>
            </w:pPr>
            <w:r w:rsidRPr="002F1D39">
              <w:rPr>
                <w:sz w:val="24"/>
                <w:szCs w:val="24"/>
              </w:rPr>
              <w:t>Attend platform meetings</w:t>
            </w:r>
            <w:r w:rsidR="00681D27" w:rsidRPr="002F1D39">
              <w:rPr>
                <w:sz w:val="24"/>
                <w:szCs w:val="24"/>
              </w:rPr>
              <w:t xml:space="preserve"> &amp; preparatory</w:t>
            </w:r>
            <w:r w:rsidR="00DF7D77">
              <w:rPr>
                <w:sz w:val="24"/>
                <w:szCs w:val="24"/>
              </w:rPr>
              <w:t>, follow up</w:t>
            </w:r>
          </w:p>
        </w:tc>
        <w:tc>
          <w:tcPr>
            <w:tcW w:w="522" w:type="dxa"/>
          </w:tcPr>
          <w:p w:rsidR="007B711B" w:rsidRPr="002F1D39" w:rsidRDefault="00460746" w:rsidP="00C324B7">
            <w:pPr>
              <w:rPr>
                <w:sz w:val="24"/>
                <w:szCs w:val="24"/>
              </w:rPr>
            </w:pPr>
            <w:r w:rsidRPr="002F1D39">
              <w:rPr>
                <w:sz w:val="24"/>
                <w:szCs w:val="24"/>
              </w:rPr>
              <w:t>12</w:t>
            </w:r>
          </w:p>
        </w:tc>
        <w:tc>
          <w:tcPr>
            <w:tcW w:w="459" w:type="dxa"/>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tcPr>
          <w:p w:rsidR="007B711B" w:rsidRPr="002F1D39" w:rsidRDefault="007B711B" w:rsidP="00C324B7">
            <w:pPr>
              <w:rPr>
                <w:sz w:val="24"/>
                <w:szCs w:val="24"/>
              </w:rPr>
            </w:pPr>
          </w:p>
        </w:tc>
        <w:tc>
          <w:tcPr>
            <w:tcW w:w="696" w:type="dxa"/>
          </w:tcPr>
          <w:p w:rsidR="007B711B" w:rsidRPr="002F1D39" w:rsidRDefault="007B711B" w:rsidP="00C324B7">
            <w:pPr>
              <w:rPr>
                <w:sz w:val="24"/>
                <w:szCs w:val="24"/>
              </w:rPr>
            </w:pPr>
          </w:p>
        </w:tc>
        <w:tc>
          <w:tcPr>
            <w:tcW w:w="538" w:type="dxa"/>
          </w:tcPr>
          <w:p w:rsidR="007B711B" w:rsidRPr="002F1D39" w:rsidRDefault="007B711B" w:rsidP="00C324B7">
            <w:pPr>
              <w:rPr>
                <w:sz w:val="24"/>
                <w:szCs w:val="24"/>
              </w:rPr>
            </w:pPr>
          </w:p>
        </w:tc>
        <w:tc>
          <w:tcPr>
            <w:tcW w:w="681" w:type="dxa"/>
            <w:shd w:val="clear" w:color="auto" w:fill="FFFFFF" w:themeFill="background1"/>
          </w:tcPr>
          <w:p w:rsidR="007B711B" w:rsidRPr="00166ED0" w:rsidRDefault="007B711B" w:rsidP="00C324B7">
            <w:pPr>
              <w:rPr>
                <w:color w:val="31849B" w:themeColor="accent5" w:themeShade="BF"/>
                <w:sz w:val="24"/>
                <w:szCs w:val="24"/>
              </w:rPr>
            </w:pPr>
          </w:p>
        </w:tc>
        <w:tc>
          <w:tcPr>
            <w:tcW w:w="380" w:type="dxa"/>
            <w:shd w:val="clear" w:color="auto" w:fill="92CDDC" w:themeFill="accent5" w:themeFillTint="99"/>
          </w:tcPr>
          <w:p w:rsidR="007B711B" w:rsidRPr="00166ED0" w:rsidRDefault="007B711B" w:rsidP="00C324B7">
            <w:pPr>
              <w:rPr>
                <w:color w:val="31849B" w:themeColor="accent5" w:themeShade="BF"/>
                <w:sz w:val="24"/>
                <w:szCs w:val="24"/>
              </w:rPr>
            </w:pPr>
          </w:p>
        </w:tc>
        <w:tc>
          <w:tcPr>
            <w:tcW w:w="570" w:type="dxa"/>
          </w:tcPr>
          <w:p w:rsidR="007B711B" w:rsidRPr="002F1D39" w:rsidRDefault="007B711B" w:rsidP="00C324B7">
            <w:pPr>
              <w:rPr>
                <w:sz w:val="24"/>
                <w:szCs w:val="24"/>
              </w:rPr>
            </w:pPr>
          </w:p>
        </w:tc>
        <w:tc>
          <w:tcPr>
            <w:tcW w:w="965" w:type="dxa"/>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DF7D77" w:rsidRPr="002F1D39" w:rsidTr="00460746">
        <w:tc>
          <w:tcPr>
            <w:tcW w:w="1393" w:type="dxa"/>
            <w:shd w:val="clear" w:color="auto" w:fill="auto"/>
          </w:tcPr>
          <w:p w:rsidR="00460746" w:rsidRPr="002F1D39" w:rsidRDefault="00460746" w:rsidP="00C324B7">
            <w:pPr>
              <w:rPr>
                <w:sz w:val="24"/>
                <w:szCs w:val="24"/>
              </w:rPr>
            </w:pPr>
            <w:r w:rsidRPr="002F1D39">
              <w:rPr>
                <w:sz w:val="24"/>
                <w:szCs w:val="24"/>
              </w:rPr>
              <w:t xml:space="preserve"> Prepare strategy and </w:t>
            </w:r>
            <w:r w:rsidRPr="002F1D39">
              <w:rPr>
                <w:sz w:val="24"/>
                <w:szCs w:val="24"/>
              </w:rPr>
              <w:lastRenderedPageBreak/>
              <w:t>wok plan</w:t>
            </w:r>
          </w:p>
        </w:tc>
        <w:tc>
          <w:tcPr>
            <w:tcW w:w="522" w:type="dxa"/>
            <w:shd w:val="clear" w:color="auto" w:fill="auto"/>
          </w:tcPr>
          <w:p w:rsidR="00460746" w:rsidRPr="002F1D39" w:rsidRDefault="00460746" w:rsidP="00C324B7">
            <w:pPr>
              <w:rPr>
                <w:sz w:val="24"/>
                <w:szCs w:val="24"/>
              </w:rPr>
            </w:pPr>
            <w:r w:rsidRPr="002F1D39">
              <w:rPr>
                <w:sz w:val="24"/>
                <w:szCs w:val="24"/>
              </w:rPr>
              <w:lastRenderedPageBreak/>
              <w:t>3</w:t>
            </w:r>
          </w:p>
        </w:tc>
        <w:tc>
          <w:tcPr>
            <w:tcW w:w="459" w:type="dxa"/>
            <w:shd w:val="clear" w:color="auto" w:fill="92CDDC" w:themeFill="accent5" w:themeFillTint="99"/>
          </w:tcPr>
          <w:p w:rsidR="00460746" w:rsidRPr="002F1D39" w:rsidRDefault="00460746" w:rsidP="00C324B7">
            <w:pPr>
              <w:rPr>
                <w:sz w:val="24"/>
                <w:szCs w:val="24"/>
              </w:rPr>
            </w:pPr>
          </w:p>
        </w:tc>
        <w:tc>
          <w:tcPr>
            <w:tcW w:w="617" w:type="dxa"/>
            <w:shd w:val="clear" w:color="auto" w:fill="92CDDC" w:themeFill="accent5" w:themeFillTint="99"/>
          </w:tcPr>
          <w:p w:rsidR="00460746" w:rsidRPr="002F1D39" w:rsidRDefault="00460746" w:rsidP="00C324B7">
            <w:pPr>
              <w:rPr>
                <w:sz w:val="24"/>
                <w:szCs w:val="24"/>
              </w:rPr>
            </w:pPr>
          </w:p>
        </w:tc>
        <w:tc>
          <w:tcPr>
            <w:tcW w:w="839" w:type="dxa"/>
            <w:shd w:val="clear" w:color="auto" w:fill="auto"/>
          </w:tcPr>
          <w:p w:rsidR="00460746" w:rsidRPr="002F1D39" w:rsidRDefault="00460746" w:rsidP="00C324B7">
            <w:pPr>
              <w:rPr>
                <w:sz w:val="24"/>
                <w:szCs w:val="24"/>
              </w:rPr>
            </w:pPr>
          </w:p>
        </w:tc>
        <w:tc>
          <w:tcPr>
            <w:tcW w:w="696" w:type="dxa"/>
            <w:shd w:val="clear" w:color="auto" w:fill="auto"/>
          </w:tcPr>
          <w:p w:rsidR="00460746" w:rsidRPr="002F1D39" w:rsidRDefault="00460746" w:rsidP="00C324B7">
            <w:pPr>
              <w:rPr>
                <w:sz w:val="24"/>
                <w:szCs w:val="24"/>
              </w:rPr>
            </w:pPr>
          </w:p>
        </w:tc>
        <w:tc>
          <w:tcPr>
            <w:tcW w:w="538" w:type="dxa"/>
            <w:shd w:val="clear" w:color="auto" w:fill="auto"/>
          </w:tcPr>
          <w:p w:rsidR="00460746" w:rsidRPr="002F1D39" w:rsidRDefault="00460746" w:rsidP="00C324B7">
            <w:pPr>
              <w:rPr>
                <w:sz w:val="24"/>
                <w:szCs w:val="24"/>
              </w:rPr>
            </w:pPr>
          </w:p>
        </w:tc>
        <w:tc>
          <w:tcPr>
            <w:tcW w:w="681" w:type="dxa"/>
            <w:shd w:val="clear" w:color="auto" w:fill="auto"/>
          </w:tcPr>
          <w:p w:rsidR="00460746" w:rsidRPr="00166ED0" w:rsidRDefault="00460746" w:rsidP="00C324B7">
            <w:pPr>
              <w:rPr>
                <w:sz w:val="24"/>
                <w:szCs w:val="24"/>
              </w:rPr>
            </w:pPr>
          </w:p>
        </w:tc>
        <w:tc>
          <w:tcPr>
            <w:tcW w:w="380" w:type="dxa"/>
            <w:shd w:val="clear" w:color="auto" w:fill="auto"/>
          </w:tcPr>
          <w:p w:rsidR="00460746" w:rsidRPr="002F1D39" w:rsidRDefault="00460746" w:rsidP="00C324B7">
            <w:pPr>
              <w:rPr>
                <w:sz w:val="24"/>
                <w:szCs w:val="24"/>
              </w:rPr>
            </w:pPr>
          </w:p>
        </w:tc>
        <w:tc>
          <w:tcPr>
            <w:tcW w:w="570" w:type="dxa"/>
            <w:shd w:val="clear" w:color="auto" w:fill="auto"/>
          </w:tcPr>
          <w:p w:rsidR="00460746" w:rsidRPr="002F1D39" w:rsidRDefault="00460746" w:rsidP="00C324B7">
            <w:pPr>
              <w:rPr>
                <w:sz w:val="24"/>
                <w:szCs w:val="24"/>
              </w:rPr>
            </w:pPr>
          </w:p>
        </w:tc>
        <w:tc>
          <w:tcPr>
            <w:tcW w:w="965" w:type="dxa"/>
            <w:shd w:val="clear" w:color="auto" w:fill="auto"/>
          </w:tcPr>
          <w:p w:rsidR="00460746" w:rsidRPr="002F1D39" w:rsidRDefault="00460746" w:rsidP="00C324B7">
            <w:pPr>
              <w:rPr>
                <w:sz w:val="24"/>
                <w:szCs w:val="24"/>
              </w:rPr>
            </w:pPr>
          </w:p>
        </w:tc>
        <w:tc>
          <w:tcPr>
            <w:tcW w:w="380" w:type="dxa"/>
            <w:shd w:val="clear" w:color="auto" w:fill="auto"/>
          </w:tcPr>
          <w:p w:rsidR="00460746" w:rsidRPr="002F1D39" w:rsidRDefault="00460746" w:rsidP="00C324B7">
            <w:pPr>
              <w:rPr>
                <w:sz w:val="24"/>
                <w:szCs w:val="24"/>
              </w:rPr>
            </w:pPr>
          </w:p>
        </w:tc>
        <w:tc>
          <w:tcPr>
            <w:tcW w:w="601" w:type="dxa"/>
            <w:shd w:val="clear" w:color="auto" w:fill="auto"/>
          </w:tcPr>
          <w:p w:rsidR="00460746" w:rsidRPr="002F1D39" w:rsidRDefault="00460746" w:rsidP="00C324B7">
            <w:pPr>
              <w:rPr>
                <w:sz w:val="24"/>
                <w:szCs w:val="24"/>
              </w:rPr>
            </w:pPr>
          </w:p>
        </w:tc>
        <w:tc>
          <w:tcPr>
            <w:tcW w:w="935" w:type="dxa"/>
          </w:tcPr>
          <w:p w:rsidR="00460746" w:rsidRPr="002F1D39" w:rsidRDefault="00460746" w:rsidP="00C324B7">
            <w:pPr>
              <w:rPr>
                <w:sz w:val="24"/>
                <w:szCs w:val="24"/>
              </w:rPr>
            </w:pPr>
          </w:p>
        </w:tc>
      </w:tr>
      <w:tr w:rsidR="00DF7D77" w:rsidRPr="002F1D39" w:rsidTr="00823FF9">
        <w:tc>
          <w:tcPr>
            <w:tcW w:w="1393" w:type="dxa"/>
            <w:shd w:val="clear" w:color="auto" w:fill="auto"/>
          </w:tcPr>
          <w:p w:rsidR="00460746" w:rsidRPr="002F1D39" w:rsidRDefault="00460746" w:rsidP="00460746">
            <w:pPr>
              <w:rPr>
                <w:sz w:val="24"/>
                <w:szCs w:val="24"/>
              </w:rPr>
            </w:pPr>
            <w:r w:rsidRPr="002F1D39">
              <w:rPr>
                <w:sz w:val="24"/>
                <w:szCs w:val="24"/>
              </w:rPr>
              <w:lastRenderedPageBreak/>
              <w:t xml:space="preserve">Consultation with CGIAR </w:t>
            </w:r>
          </w:p>
        </w:tc>
        <w:tc>
          <w:tcPr>
            <w:tcW w:w="522" w:type="dxa"/>
            <w:shd w:val="clear" w:color="auto" w:fill="auto"/>
          </w:tcPr>
          <w:p w:rsidR="00460746" w:rsidRPr="002F1D39" w:rsidRDefault="00EC6454" w:rsidP="00C324B7">
            <w:pPr>
              <w:rPr>
                <w:sz w:val="24"/>
                <w:szCs w:val="24"/>
              </w:rPr>
            </w:pPr>
            <w:r w:rsidRPr="002F1D39">
              <w:rPr>
                <w:sz w:val="24"/>
                <w:szCs w:val="24"/>
              </w:rPr>
              <w:t>1</w:t>
            </w:r>
          </w:p>
        </w:tc>
        <w:tc>
          <w:tcPr>
            <w:tcW w:w="459" w:type="dxa"/>
            <w:shd w:val="clear" w:color="auto" w:fill="auto"/>
          </w:tcPr>
          <w:p w:rsidR="00460746" w:rsidRPr="002F1D39" w:rsidRDefault="00460746" w:rsidP="00C324B7">
            <w:pPr>
              <w:rPr>
                <w:sz w:val="24"/>
                <w:szCs w:val="24"/>
              </w:rPr>
            </w:pPr>
          </w:p>
        </w:tc>
        <w:tc>
          <w:tcPr>
            <w:tcW w:w="617" w:type="dxa"/>
            <w:shd w:val="clear" w:color="auto" w:fill="92CDDC" w:themeFill="accent5" w:themeFillTint="99"/>
          </w:tcPr>
          <w:p w:rsidR="00460746" w:rsidRPr="002F1D39" w:rsidRDefault="00460746" w:rsidP="00C324B7">
            <w:pPr>
              <w:rPr>
                <w:sz w:val="24"/>
                <w:szCs w:val="24"/>
              </w:rPr>
            </w:pPr>
          </w:p>
        </w:tc>
        <w:tc>
          <w:tcPr>
            <w:tcW w:w="839" w:type="dxa"/>
            <w:shd w:val="clear" w:color="auto" w:fill="auto"/>
          </w:tcPr>
          <w:p w:rsidR="00460746" w:rsidRPr="002F1D39" w:rsidRDefault="00460746" w:rsidP="00C324B7">
            <w:pPr>
              <w:rPr>
                <w:sz w:val="24"/>
                <w:szCs w:val="24"/>
              </w:rPr>
            </w:pPr>
          </w:p>
        </w:tc>
        <w:tc>
          <w:tcPr>
            <w:tcW w:w="696" w:type="dxa"/>
            <w:shd w:val="clear" w:color="auto" w:fill="auto"/>
          </w:tcPr>
          <w:p w:rsidR="00460746" w:rsidRPr="002F1D39" w:rsidRDefault="00460746" w:rsidP="00C324B7">
            <w:pPr>
              <w:rPr>
                <w:sz w:val="24"/>
                <w:szCs w:val="24"/>
              </w:rPr>
            </w:pPr>
          </w:p>
        </w:tc>
        <w:tc>
          <w:tcPr>
            <w:tcW w:w="538" w:type="dxa"/>
            <w:shd w:val="clear" w:color="auto" w:fill="auto"/>
          </w:tcPr>
          <w:p w:rsidR="00460746" w:rsidRPr="002F1D39" w:rsidRDefault="00460746" w:rsidP="00C324B7">
            <w:pPr>
              <w:rPr>
                <w:sz w:val="24"/>
                <w:szCs w:val="24"/>
              </w:rPr>
            </w:pPr>
          </w:p>
        </w:tc>
        <w:tc>
          <w:tcPr>
            <w:tcW w:w="681" w:type="dxa"/>
            <w:shd w:val="clear" w:color="auto" w:fill="auto"/>
          </w:tcPr>
          <w:p w:rsidR="00460746" w:rsidRPr="002F1D39" w:rsidRDefault="00460746" w:rsidP="00C324B7">
            <w:pPr>
              <w:rPr>
                <w:sz w:val="24"/>
                <w:szCs w:val="24"/>
              </w:rPr>
            </w:pPr>
          </w:p>
        </w:tc>
        <w:tc>
          <w:tcPr>
            <w:tcW w:w="380" w:type="dxa"/>
            <w:shd w:val="clear" w:color="auto" w:fill="auto"/>
          </w:tcPr>
          <w:p w:rsidR="00460746" w:rsidRPr="002F1D39" w:rsidRDefault="00460746" w:rsidP="00C324B7">
            <w:pPr>
              <w:rPr>
                <w:sz w:val="24"/>
                <w:szCs w:val="24"/>
              </w:rPr>
            </w:pPr>
          </w:p>
        </w:tc>
        <w:tc>
          <w:tcPr>
            <w:tcW w:w="570" w:type="dxa"/>
            <w:shd w:val="clear" w:color="auto" w:fill="92CDDC" w:themeFill="accent5" w:themeFillTint="99"/>
          </w:tcPr>
          <w:p w:rsidR="00460746" w:rsidRPr="002F1D39" w:rsidRDefault="00460746" w:rsidP="00C324B7">
            <w:pPr>
              <w:rPr>
                <w:sz w:val="24"/>
                <w:szCs w:val="24"/>
              </w:rPr>
            </w:pPr>
          </w:p>
        </w:tc>
        <w:tc>
          <w:tcPr>
            <w:tcW w:w="965" w:type="dxa"/>
            <w:shd w:val="clear" w:color="auto" w:fill="auto"/>
          </w:tcPr>
          <w:p w:rsidR="00460746" w:rsidRPr="002F1D39" w:rsidRDefault="00460746" w:rsidP="00C324B7">
            <w:pPr>
              <w:rPr>
                <w:sz w:val="24"/>
                <w:szCs w:val="24"/>
              </w:rPr>
            </w:pPr>
          </w:p>
        </w:tc>
        <w:tc>
          <w:tcPr>
            <w:tcW w:w="380" w:type="dxa"/>
            <w:shd w:val="clear" w:color="auto" w:fill="auto"/>
          </w:tcPr>
          <w:p w:rsidR="00460746" w:rsidRPr="002F1D39" w:rsidRDefault="00460746" w:rsidP="00C324B7">
            <w:pPr>
              <w:rPr>
                <w:sz w:val="24"/>
                <w:szCs w:val="24"/>
              </w:rPr>
            </w:pPr>
          </w:p>
        </w:tc>
        <w:tc>
          <w:tcPr>
            <w:tcW w:w="601" w:type="dxa"/>
            <w:shd w:val="clear" w:color="auto" w:fill="auto"/>
          </w:tcPr>
          <w:p w:rsidR="00460746" w:rsidRPr="002F1D39" w:rsidRDefault="00460746" w:rsidP="00C324B7">
            <w:pPr>
              <w:rPr>
                <w:sz w:val="24"/>
                <w:szCs w:val="24"/>
              </w:rPr>
            </w:pPr>
          </w:p>
        </w:tc>
        <w:tc>
          <w:tcPr>
            <w:tcW w:w="935" w:type="dxa"/>
          </w:tcPr>
          <w:p w:rsidR="00460746" w:rsidRPr="002F1D39" w:rsidRDefault="00460746" w:rsidP="00C324B7">
            <w:pPr>
              <w:rPr>
                <w:sz w:val="24"/>
                <w:szCs w:val="24"/>
              </w:rPr>
            </w:pPr>
          </w:p>
        </w:tc>
      </w:tr>
    </w:tbl>
    <w:p w:rsidR="007A7F66" w:rsidRDefault="00823FF9" w:rsidP="007A7F66">
      <w:pPr>
        <w:rPr>
          <w:sz w:val="24"/>
          <w:szCs w:val="24"/>
        </w:rPr>
      </w:pPr>
      <w:r w:rsidRPr="002F1D39">
        <w:rPr>
          <w:sz w:val="24"/>
          <w:szCs w:val="24"/>
        </w:rPr>
        <w:t xml:space="preserve">NB: It is subject for revision as per demand and prior agreement with </w:t>
      </w:r>
      <w:proofErr w:type="spellStart"/>
      <w:r w:rsidR="00DF7D77">
        <w:rPr>
          <w:sz w:val="24"/>
          <w:szCs w:val="24"/>
        </w:rPr>
        <w:t>Kees</w:t>
      </w:r>
      <w:proofErr w:type="spellEnd"/>
      <w:r w:rsidR="00DF7D77">
        <w:rPr>
          <w:sz w:val="24"/>
          <w:szCs w:val="24"/>
        </w:rPr>
        <w:t xml:space="preserve">, </w:t>
      </w:r>
      <w:r w:rsidRPr="002F1D39">
        <w:rPr>
          <w:sz w:val="24"/>
          <w:szCs w:val="24"/>
        </w:rPr>
        <w:t>Alan and Simon</w:t>
      </w:r>
      <w:r w:rsidR="004D62A8">
        <w:rPr>
          <w:sz w:val="24"/>
          <w:szCs w:val="24"/>
        </w:rPr>
        <w:t xml:space="preserve">; progress will be discussed with </w:t>
      </w:r>
      <w:proofErr w:type="spellStart"/>
      <w:r w:rsidR="004D62A8">
        <w:rPr>
          <w:sz w:val="24"/>
          <w:szCs w:val="24"/>
        </w:rPr>
        <w:t>Kees</w:t>
      </w:r>
      <w:proofErr w:type="spellEnd"/>
      <w:r w:rsidR="007A7F66">
        <w:rPr>
          <w:sz w:val="24"/>
          <w:szCs w:val="24"/>
        </w:rPr>
        <w:t>.</w:t>
      </w:r>
    </w:p>
    <w:p w:rsidR="00DF7D77" w:rsidRPr="007A7F66" w:rsidRDefault="00DF7D77" w:rsidP="007A7F66">
      <w:pPr>
        <w:rPr>
          <w:sz w:val="24"/>
          <w:szCs w:val="24"/>
        </w:rPr>
      </w:pPr>
      <w:r w:rsidRPr="007A7F66">
        <w:rPr>
          <w:sz w:val="24"/>
          <w:szCs w:val="24"/>
        </w:rPr>
        <w:t>Regional platform meeting date</w:t>
      </w:r>
      <w:r w:rsidR="007A7F66" w:rsidRPr="007A7F66">
        <w:rPr>
          <w:sz w:val="24"/>
          <w:szCs w:val="24"/>
        </w:rPr>
        <w:t xml:space="preserve"> (June</w:t>
      </w:r>
      <w:r w:rsidR="007A7F66" w:rsidRPr="007A7F66">
        <w:rPr>
          <w:sz w:val="24"/>
          <w:szCs w:val="24"/>
        </w:rPr>
        <w:t xml:space="preserve"> or July)</w:t>
      </w:r>
      <w:r w:rsidR="007A7F66">
        <w:rPr>
          <w:sz w:val="24"/>
          <w:szCs w:val="24"/>
        </w:rPr>
        <w:t>:  T</w:t>
      </w:r>
      <w:r w:rsidRPr="007A7F66">
        <w:rPr>
          <w:sz w:val="24"/>
          <w:szCs w:val="24"/>
        </w:rPr>
        <w:t xml:space="preserve">o be fixed in consultation with Basin Authority </w:t>
      </w:r>
      <w:r w:rsidR="007A7F66">
        <w:rPr>
          <w:sz w:val="24"/>
          <w:szCs w:val="24"/>
        </w:rPr>
        <w:t xml:space="preserve">leadership </w:t>
      </w:r>
      <w:r w:rsidRPr="007A7F66">
        <w:rPr>
          <w:sz w:val="24"/>
          <w:szCs w:val="24"/>
        </w:rPr>
        <w:t xml:space="preserve">and other regional </w:t>
      </w:r>
      <w:r w:rsidR="007A7F66">
        <w:rPr>
          <w:sz w:val="24"/>
          <w:szCs w:val="24"/>
        </w:rPr>
        <w:t>stakeholders (BOA) and ARARI.</w:t>
      </w:r>
    </w:p>
    <w:p w:rsidR="00DF7D77" w:rsidRDefault="00DF7D77" w:rsidP="00C324B7">
      <w:pPr>
        <w:rPr>
          <w:sz w:val="24"/>
          <w:szCs w:val="24"/>
        </w:rPr>
      </w:pPr>
    </w:p>
    <w:p w:rsidR="00DF7D77" w:rsidRPr="002F1D39" w:rsidRDefault="00DF7D77" w:rsidP="00C324B7">
      <w:pPr>
        <w:rPr>
          <w:sz w:val="24"/>
          <w:szCs w:val="24"/>
        </w:rPr>
      </w:pPr>
    </w:p>
    <w:sectPr w:rsidR="00DF7D77" w:rsidRPr="002F1D39" w:rsidSect="00AC046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0CE" w:rsidRDefault="00D660CE" w:rsidP="00EE04CC">
      <w:pPr>
        <w:spacing w:after="0" w:line="240" w:lineRule="auto"/>
      </w:pPr>
      <w:r>
        <w:separator/>
      </w:r>
    </w:p>
  </w:endnote>
  <w:endnote w:type="continuationSeparator" w:id="0">
    <w:p w:rsidR="00D660CE" w:rsidRDefault="00D660CE" w:rsidP="00EE0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166598"/>
      <w:docPartObj>
        <w:docPartGallery w:val="Page Numbers (Bottom of Page)"/>
        <w:docPartUnique/>
      </w:docPartObj>
    </w:sdtPr>
    <w:sdtEndPr>
      <w:rPr>
        <w:noProof/>
      </w:rPr>
    </w:sdtEndPr>
    <w:sdtContent>
      <w:p w:rsidR="00701AAC" w:rsidRDefault="00E257DC">
        <w:pPr>
          <w:pStyle w:val="Footer"/>
          <w:jc w:val="center"/>
        </w:pPr>
        <w:r>
          <w:fldChar w:fldCharType="begin"/>
        </w:r>
        <w:r>
          <w:instrText xml:space="preserve"> PAGE   \* MERGEFORMAT </w:instrText>
        </w:r>
        <w:r>
          <w:fldChar w:fldCharType="separate"/>
        </w:r>
        <w:r w:rsidR="00573A80">
          <w:rPr>
            <w:noProof/>
          </w:rPr>
          <w:t>4</w:t>
        </w:r>
        <w:r>
          <w:rPr>
            <w:noProof/>
          </w:rPr>
          <w:fldChar w:fldCharType="end"/>
        </w:r>
      </w:p>
    </w:sdtContent>
  </w:sdt>
  <w:p w:rsidR="00701AAC" w:rsidRDefault="00701A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0CE" w:rsidRDefault="00D660CE" w:rsidP="00EE04CC">
      <w:pPr>
        <w:spacing w:after="0" w:line="240" w:lineRule="auto"/>
      </w:pPr>
      <w:r>
        <w:separator/>
      </w:r>
    </w:p>
  </w:footnote>
  <w:footnote w:type="continuationSeparator" w:id="0">
    <w:p w:rsidR="00D660CE" w:rsidRDefault="00D660CE" w:rsidP="00EE04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4A4E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A3C42"/>
    <w:multiLevelType w:val="hybridMultilevel"/>
    <w:tmpl w:val="DA80F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4F609A"/>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3">
    <w:nsid w:val="29AE2375"/>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4">
    <w:nsid w:val="29E97EA3"/>
    <w:multiLevelType w:val="hybridMultilevel"/>
    <w:tmpl w:val="1974D16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31670A8E"/>
    <w:multiLevelType w:val="hybridMultilevel"/>
    <w:tmpl w:val="34F4B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C7476C2"/>
    <w:multiLevelType w:val="hybridMultilevel"/>
    <w:tmpl w:val="D98A0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515D16"/>
    <w:multiLevelType w:val="hybridMultilevel"/>
    <w:tmpl w:val="DB3E97E4"/>
    <w:lvl w:ilvl="0" w:tplc="C5ECA9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A02471"/>
    <w:multiLevelType w:val="hybridMultilevel"/>
    <w:tmpl w:val="74FC7108"/>
    <w:lvl w:ilvl="0" w:tplc="CA9C736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F93644B"/>
    <w:multiLevelType w:val="hybridMultilevel"/>
    <w:tmpl w:val="6A1C4ED8"/>
    <w:lvl w:ilvl="0" w:tplc="30F487AC">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EA60ED"/>
    <w:multiLevelType w:val="hybridMultilevel"/>
    <w:tmpl w:val="C9507C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C47694"/>
    <w:multiLevelType w:val="hybridMultilevel"/>
    <w:tmpl w:val="B9F81878"/>
    <w:lvl w:ilvl="0" w:tplc="CA9C736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C834B8"/>
    <w:multiLevelType w:val="hybridMultilevel"/>
    <w:tmpl w:val="5588BF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C63EBC"/>
    <w:multiLevelType w:val="hybridMultilevel"/>
    <w:tmpl w:val="98D493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
  </w:num>
  <w:num w:numId="4">
    <w:abstractNumId w:val="10"/>
  </w:num>
  <w:num w:numId="5">
    <w:abstractNumId w:val="8"/>
  </w:num>
  <w:num w:numId="6">
    <w:abstractNumId w:val="11"/>
  </w:num>
  <w:num w:numId="7">
    <w:abstractNumId w:val="12"/>
  </w:num>
  <w:num w:numId="8">
    <w:abstractNumId w:val="7"/>
  </w:num>
  <w:num w:numId="9">
    <w:abstractNumId w:val="2"/>
  </w:num>
  <w:num w:numId="10">
    <w:abstractNumId w:val="3"/>
  </w:num>
  <w:num w:numId="11">
    <w:abstractNumId w:val="13"/>
  </w:num>
  <w:num w:numId="12">
    <w:abstractNumId w:val="6"/>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16B"/>
    <w:rsid w:val="00007267"/>
    <w:rsid w:val="00013F29"/>
    <w:rsid w:val="00020F38"/>
    <w:rsid w:val="000220FF"/>
    <w:rsid w:val="00024DC0"/>
    <w:rsid w:val="00057A45"/>
    <w:rsid w:val="000733C2"/>
    <w:rsid w:val="00075E72"/>
    <w:rsid w:val="00080B7D"/>
    <w:rsid w:val="00086E7B"/>
    <w:rsid w:val="000A4231"/>
    <w:rsid w:val="000B0C71"/>
    <w:rsid w:val="000E5022"/>
    <w:rsid w:val="000F3BC9"/>
    <w:rsid w:val="000F4E0D"/>
    <w:rsid w:val="0011219E"/>
    <w:rsid w:val="0011765E"/>
    <w:rsid w:val="00121DA1"/>
    <w:rsid w:val="001305A5"/>
    <w:rsid w:val="00141BEB"/>
    <w:rsid w:val="00146CBD"/>
    <w:rsid w:val="00166ED0"/>
    <w:rsid w:val="00170CB4"/>
    <w:rsid w:val="00176B26"/>
    <w:rsid w:val="001A596A"/>
    <w:rsid w:val="001E6A04"/>
    <w:rsid w:val="002115E4"/>
    <w:rsid w:val="00271113"/>
    <w:rsid w:val="00271522"/>
    <w:rsid w:val="00282457"/>
    <w:rsid w:val="00284E1F"/>
    <w:rsid w:val="0028697E"/>
    <w:rsid w:val="0029613B"/>
    <w:rsid w:val="002C758E"/>
    <w:rsid w:val="002E0767"/>
    <w:rsid w:val="002E55C6"/>
    <w:rsid w:val="002F1D39"/>
    <w:rsid w:val="00323BE8"/>
    <w:rsid w:val="003325E5"/>
    <w:rsid w:val="003506E4"/>
    <w:rsid w:val="0036148E"/>
    <w:rsid w:val="003773DF"/>
    <w:rsid w:val="00385BB4"/>
    <w:rsid w:val="00390C82"/>
    <w:rsid w:val="003E1DE9"/>
    <w:rsid w:val="003E6629"/>
    <w:rsid w:val="003F219F"/>
    <w:rsid w:val="00415449"/>
    <w:rsid w:val="0042535A"/>
    <w:rsid w:val="004265C4"/>
    <w:rsid w:val="00460746"/>
    <w:rsid w:val="0047246B"/>
    <w:rsid w:val="00485E0E"/>
    <w:rsid w:val="00486D96"/>
    <w:rsid w:val="00497DCD"/>
    <w:rsid w:val="004C0438"/>
    <w:rsid w:val="004D62A8"/>
    <w:rsid w:val="004E075B"/>
    <w:rsid w:val="00520734"/>
    <w:rsid w:val="00551FDB"/>
    <w:rsid w:val="00573A80"/>
    <w:rsid w:val="005915A2"/>
    <w:rsid w:val="00592969"/>
    <w:rsid w:val="00596BB7"/>
    <w:rsid w:val="005A29E1"/>
    <w:rsid w:val="005C1D23"/>
    <w:rsid w:val="005C3F2E"/>
    <w:rsid w:val="005D6780"/>
    <w:rsid w:val="00622E96"/>
    <w:rsid w:val="00635DAE"/>
    <w:rsid w:val="00653BB4"/>
    <w:rsid w:val="00667F6F"/>
    <w:rsid w:val="00681D27"/>
    <w:rsid w:val="006878AB"/>
    <w:rsid w:val="006900DC"/>
    <w:rsid w:val="00692343"/>
    <w:rsid w:val="006A2D6C"/>
    <w:rsid w:val="006A4262"/>
    <w:rsid w:val="006C1168"/>
    <w:rsid w:val="006D2080"/>
    <w:rsid w:val="006F08E3"/>
    <w:rsid w:val="006F2128"/>
    <w:rsid w:val="006F2FEA"/>
    <w:rsid w:val="006F515F"/>
    <w:rsid w:val="006F7ACB"/>
    <w:rsid w:val="00701AAC"/>
    <w:rsid w:val="00727A9B"/>
    <w:rsid w:val="00753C67"/>
    <w:rsid w:val="007765E0"/>
    <w:rsid w:val="007861A9"/>
    <w:rsid w:val="007A7F66"/>
    <w:rsid w:val="007B0B63"/>
    <w:rsid w:val="007B0E22"/>
    <w:rsid w:val="007B711B"/>
    <w:rsid w:val="007D0C3E"/>
    <w:rsid w:val="007D1ED3"/>
    <w:rsid w:val="00802E0C"/>
    <w:rsid w:val="00806FD8"/>
    <w:rsid w:val="00823FF9"/>
    <w:rsid w:val="0083428B"/>
    <w:rsid w:val="00835C36"/>
    <w:rsid w:val="00836839"/>
    <w:rsid w:val="00842C29"/>
    <w:rsid w:val="008667B1"/>
    <w:rsid w:val="00891FA4"/>
    <w:rsid w:val="00893364"/>
    <w:rsid w:val="008C53B9"/>
    <w:rsid w:val="008E049B"/>
    <w:rsid w:val="008E78A3"/>
    <w:rsid w:val="008F055F"/>
    <w:rsid w:val="009024C6"/>
    <w:rsid w:val="00903CF8"/>
    <w:rsid w:val="009341AA"/>
    <w:rsid w:val="00947535"/>
    <w:rsid w:val="009549E7"/>
    <w:rsid w:val="0097416B"/>
    <w:rsid w:val="0098278B"/>
    <w:rsid w:val="009B70E9"/>
    <w:rsid w:val="009E3DCB"/>
    <w:rsid w:val="00A02265"/>
    <w:rsid w:val="00A137A9"/>
    <w:rsid w:val="00A45E24"/>
    <w:rsid w:val="00A50845"/>
    <w:rsid w:val="00A523D5"/>
    <w:rsid w:val="00A620F1"/>
    <w:rsid w:val="00A84FDE"/>
    <w:rsid w:val="00A9101A"/>
    <w:rsid w:val="00A95592"/>
    <w:rsid w:val="00A96F06"/>
    <w:rsid w:val="00AA3069"/>
    <w:rsid w:val="00AA4F4B"/>
    <w:rsid w:val="00AB3E22"/>
    <w:rsid w:val="00AC0460"/>
    <w:rsid w:val="00AC36C6"/>
    <w:rsid w:val="00AE4F04"/>
    <w:rsid w:val="00B11681"/>
    <w:rsid w:val="00B207DA"/>
    <w:rsid w:val="00B3686E"/>
    <w:rsid w:val="00B5502F"/>
    <w:rsid w:val="00B81154"/>
    <w:rsid w:val="00BA2ADD"/>
    <w:rsid w:val="00BB23A4"/>
    <w:rsid w:val="00BF6033"/>
    <w:rsid w:val="00C041CB"/>
    <w:rsid w:val="00C1562C"/>
    <w:rsid w:val="00C324B7"/>
    <w:rsid w:val="00C4272E"/>
    <w:rsid w:val="00C70DD1"/>
    <w:rsid w:val="00C742EE"/>
    <w:rsid w:val="00C74D7D"/>
    <w:rsid w:val="00C76CF1"/>
    <w:rsid w:val="00CD2C4B"/>
    <w:rsid w:val="00D25216"/>
    <w:rsid w:val="00D44702"/>
    <w:rsid w:val="00D660CE"/>
    <w:rsid w:val="00D71190"/>
    <w:rsid w:val="00D81AFD"/>
    <w:rsid w:val="00D96A3E"/>
    <w:rsid w:val="00DA0084"/>
    <w:rsid w:val="00DF317E"/>
    <w:rsid w:val="00DF7D77"/>
    <w:rsid w:val="00E20C0D"/>
    <w:rsid w:val="00E257DC"/>
    <w:rsid w:val="00E33F23"/>
    <w:rsid w:val="00E661B4"/>
    <w:rsid w:val="00EC2691"/>
    <w:rsid w:val="00EC6454"/>
    <w:rsid w:val="00ED0F8A"/>
    <w:rsid w:val="00ED4574"/>
    <w:rsid w:val="00ED72C5"/>
    <w:rsid w:val="00EE04CC"/>
    <w:rsid w:val="00EE6362"/>
    <w:rsid w:val="00F114C1"/>
    <w:rsid w:val="00F705DF"/>
    <w:rsid w:val="00F722B8"/>
    <w:rsid w:val="00FC5815"/>
    <w:rsid w:val="00FF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6B"/>
    <w:pPr>
      <w:ind w:left="720"/>
      <w:contextualSpacing/>
    </w:pPr>
  </w:style>
  <w:style w:type="character" w:styleId="Hyperlink">
    <w:name w:val="Hyperlink"/>
    <w:basedOn w:val="DefaultParagraphFont"/>
    <w:uiPriority w:val="99"/>
    <w:unhideWhenUsed/>
    <w:rsid w:val="00891FA4"/>
    <w:rPr>
      <w:color w:val="0000FF"/>
      <w:u w:val="single"/>
    </w:rPr>
  </w:style>
  <w:style w:type="paragraph" w:styleId="BalloonText">
    <w:name w:val="Balloon Text"/>
    <w:basedOn w:val="Normal"/>
    <w:link w:val="BalloonTextChar"/>
    <w:uiPriority w:val="99"/>
    <w:semiHidden/>
    <w:unhideWhenUsed/>
    <w:rsid w:val="001A5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6A"/>
    <w:rPr>
      <w:rFonts w:ascii="Tahoma" w:hAnsi="Tahoma" w:cs="Tahoma"/>
      <w:sz w:val="16"/>
      <w:szCs w:val="16"/>
    </w:rPr>
  </w:style>
  <w:style w:type="character" w:styleId="CommentReference">
    <w:name w:val="annotation reference"/>
    <w:basedOn w:val="DefaultParagraphFont"/>
    <w:uiPriority w:val="99"/>
    <w:semiHidden/>
    <w:unhideWhenUsed/>
    <w:rsid w:val="001A596A"/>
    <w:rPr>
      <w:sz w:val="16"/>
      <w:szCs w:val="16"/>
    </w:rPr>
  </w:style>
  <w:style w:type="paragraph" w:styleId="CommentText">
    <w:name w:val="annotation text"/>
    <w:basedOn w:val="Normal"/>
    <w:link w:val="CommentTextChar"/>
    <w:uiPriority w:val="99"/>
    <w:semiHidden/>
    <w:unhideWhenUsed/>
    <w:rsid w:val="001A596A"/>
    <w:pPr>
      <w:spacing w:line="240" w:lineRule="auto"/>
    </w:pPr>
    <w:rPr>
      <w:sz w:val="20"/>
      <w:szCs w:val="20"/>
    </w:rPr>
  </w:style>
  <w:style w:type="character" w:customStyle="1" w:styleId="CommentTextChar">
    <w:name w:val="Comment Text Char"/>
    <w:basedOn w:val="DefaultParagraphFont"/>
    <w:link w:val="CommentText"/>
    <w:uiPriority w:val="99"/>
    <w:semiHidden/>
    <w:rsid w:val="001A596A"/>
    <w:rPr>
      <w:sz w:val="20"/>
      <w:szCs w:val="20"/>
    </w:rPr>
  </w:style>
  <w:style w:type="paragraph" w:styleId="CommentSubject">
    <w:name w:val="annotation subject"/>
    <w:basedOn w:val="CommentText"/>
    <w:next w:val="CommentText"/>
    <w:link w:val="CommentSubjectChar"/>
    <w:uiPriority w:val="99"/>
    <w:semiHidden/>
    <w:unhideWhenUsed/>
    <w:rsid w:val="001A596A"/>
    <w:rPr>
      <w:b/>
      <w:bCs/>
    </w:rPr>
  </w:style>
  <w:style w:type="character" w:customStyle="1" w:styleId="CommentSubjectChar">
    <w:name w:val="Comment Subject Char"/>
    <w:basedOn w:val="CommentTextChar"/>
    <w:link w:val="CommentSubject"/>
    <w:uiPriority w:val="99"/>
    <w:semiHidden/>
    <w:rsid w:val="001A596A"/>
    <w:rPr>
      <w:b/>
      <w:bCs/>
      <w:sz w:val="20"/>
      <w:szCs w:val="20"/>
    </w:rPr>
  </w:style>
  <w:style w:type="paragraph" w:styleId="Revision">
    <w:name w:val="Revision"/>
    <w:hidden/>
    <w:uiPriority w:val="99"/>
    <w:semiHidden/>
    <w:rsid w:val="001A596A"/>
    <w:pPr>
      <w:spacing w:after="0" w:line="240" w:lineRule="auto"/>
    </w:pPr>
  </w:style>
  <w:style w:type="paragraph" w:styleId="NoSpacing">
    <w:name w:val="No Spacing"/>
    <w:uiPriority w:val="1"/>
    <w:qFormat/>
    <w:rsid w:val="00A523D5"/>
    <w:pPr>
      <w:spacing w:after="0" w:line="240" w:lineRule="auto"/>
    </w:pPr>
  </w:style>
  <w:style w:type="paragraph" w:styleId="Header">
    <w:name w:val="header"/>
    <w:basedOn w:val="Normal"/>
    <w:link w:val="HeaderChar"/>
    <w:uiPriority w:val="99"/>
    <w:unhideWhenUsed/>
    <w:rsid w:val="00EE0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4CC"/>
  </w:style>
  <w:style w:type="paragraph" w:styleId="Footer">
    <w:name w:val="footer"/>
    <w:basedOn w:val="Normal"/>
    <w:link w:val="FooterChar"/>
    <w:uiPriority w:val="99"/>
    <w:unhideWhenUsed/>
    <w:rsid w:val="00EE0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4CC"/>
  </w:style>
  <w:style w:type="table" w:styleId="TableGrid">
    <w:name w:val="Table Grid"/>
    <w:basedOn w:val="TableNormal"/>
    <w:uiPriority w:val="59"/>
    <w:rsid w:val="007B71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semiHidden/>
    <w:unhideWhenUsed/>
    <w:rsid w:val="002E55C6"/>
    <w:pPr>
      <w:numPr>
        <w:numId w:val="1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6B"/>
    <w:pPr>
      <w:ind w:left="720"/>
      <w:contextualSpacing/>
    </w:pPr>
  </w:style>
  <w:style w:type="character" w:styleId="Hyperlink">
    <w:name w:val="Hyperlink"/>
    <w:basedOn w:val="DefaultParagraphFont"/>
    <w:uiPriority w:val="99"/>
    <w:unhideWhenUsed/>
    <w:rsid w:val="00891FA4"/>
    <w:rPr>
      <w:color w:val="0000FF"/>
      <w:u w:val="single"/>
    </w:rPr>
  </w:style>
  <w:style w:type="paragraph" w:styleId="BalloonText">
    <w:name w:val="Balloon Text"/>
    <w:basedOn w:val="Normal"/>
    <w:link w:val="BalloonTextChar"/>
    <w:uiPriority w:val="99"/>
    <w:semiHidden/>
    <w:unhideWhenUsed/>
    <w:rsid w:val="001A5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6A"/>
    <w:rPr>
      <w:rFonts w:ascii="Tahoma" w:hAnsi="Tahoma" w:cs="Tahoma"/>
      <w:sz w:val="16"/>
      <w:szCs w:val="16"/>
    </w:rPr>
  </w:style>
  <w:style w:type="character" w:styleId="CommentReference">
    <w:name w:val="annotation reference"/>
    <w:basedOn w:val="DefaultParagraphFont"/>
    <w:uiPriority w:val="99"/>
    <w:semiHidden/>
    <w:unhideWhenUsed/>
    <w:rsid w:val="001A596A"/>
    <w:rPr>
      <w:sz w:val="16"/>
      <w:szCs w:val="16"/>
    </w:rPr>
  </w:style>
  <w:style w:type="paragraph" w:styleId="CommentText">
    <w:name w:val="annotation text"/>
    <w:basedOn w:val="Normal"/>
    <w:link w:val="CommentTextChar"/>
    <w:uiPriority w:val="99"/>
    <w:semiHidden/>
    <w:unhideWhenUsed/>
    <w:rsid w:val="001A596A"/>
    <w:pPr>
      <w:spacing w:line="240" w:lineRule="auto"/>
    </w:pPr>
    <w:rPr>
      <w:sz w:val="20"/>
      <w:szCs w:val="20"/>
    </w:rPr>
  </w:style>
  <w:style w:type="character" w:customStyle="1" w:styleId="CommentTextChar">
    <w:name w:val="Comment Text Char"/>
    <w:basedOn w:val="DefaultParagraphFont"/>
    <w:link w:val="CommentText"/>
    <w:uiPriority w:val="99"/>
    <w:semiHidden/>
    <w:rsid w:val="001A596A"/>
    <w:rPr>
      <w:sz w:val="20"/>
      <w:szCs w:val="20"/>
    </w:rPr>
  </w:style>
  <w:style w:type="paragraph" w:styleId="CommentSubject">
    <w:name w:val="annotation subject"/>
    <w:basedOn w:val="CommentText"/>
    <w:next w:val="CommentText"/>
    <w:link w:val="CommentSubjectChar"/>
    <w:uiPriority w:val="99"/>
    <w:semiHidden/>
    <w:unhideWhenUsed/>
    <w:rsid w:val="001A596A"/>
    <w:rPr>
      <w:b/>
      <w:bCs/>
    </w:rPr>
  </w:style>
  <w:style w:type="character" w:customStyle="1" w:styleId="CommentSubjectChar">
    <w:name w:val="Comment Subject Char"/>
    <w:basedOn w:val="CommentTextChar"/>
    <w:link w:val="CommentSubject"/>
    <w:uiPriority w:val="99"/>
    <w:semiHidden/>
    <w:rsid w:val="001A596A"/>
    <w:rPr>
      <w:b/>
      <w:bCs/>
      <w:sz w:val="20"/>
      <w:szCs w:val="20"/>
    </w:rPr>
  </w:style>
  <w:style w:type="paragraph" w:styleId="Revision">
    <w:name w:val="Revision"/>
    <w:hidden/>
    <w:uiPriority w:val="99"/>
    <w:semiHidden/>
    <w:rsid w:val="001A596A"/>
    <w:pPr>
      <w:spacing w:after="0" w:line="240" w:lineRule="auto"/>
    </w:pPr>
  </w:style>
  <w:style w:type="paragraph" w:styleId="NoSpacing">
    <w:name w:val="No Spacing"/>
    <w:uiPriority w:val="1"/>
    <w:qFormat/>
    <w:rsid w:val="00A523D5"/>
    <w:pPr>
      <w:spacing w:after="0" w:line="240" w:lineRule="auto"/>
    </w:pPr>
  </w:style>
  <w:style w:type="paragraph" w:styleId="Header">
    <w:name w:val="header"/>
    <w:basedOn w:val="Normal"/>
    <w:link w:val="HeaderChar"/>
    <w:uiPriority w:val="99"/>
    <w:unhideWhenUsed/>
    <w:rsid w:val="00EE0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4CC"/>
  </w:style>
  <w:style w:type="paragraph" w:styleId="Footer">
    <w:name w:val="footer"/>
    <w:basedOn w:val="Normal"/>
    <w:link w:val="FooterChar"/>
    <w:uiPriority w:val="99"/>
    <w:unhideWhenUsed/>
    <w:rsid w:val="00EE0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4CC"/>
  </w:style>
  <w:style w:type="table" w:styleId="TableGrid">
    <w:name w:val="Table Grid"/>
    <w:basedOn w:val="TableNormal"/>
    <w:uiPriority w:val="59"/>
    <w:rsid w:val="007B71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semiHidden/>
    <w:unhideWhenUsed/>
    <w:rsid w:val="002E55C6"/>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76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FCAE8-1535-42E2-938C-2ABD3BD4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Pages>
  <Words>2808</Words>
  <Characters>16011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Swaans, Kees (ILRI)</dc:creator>
  <cp:lastModifiedBy>Belay</cp:lastModifiedBy>
  <cp:revision>8</cp:revision>
  <cp:lastPrinted>2012-11-20T06:18:00Z</cp:lastPrinted>
  <dcterms:created xsi:type="dcterms:W3CDTF">2013-01-28T01:50:00Z</dcterms:created>
  <dcterms:modified xsi:type="dcterms:W3CDTF">2013-01-28T03:32:00Z</dcterms:modified>
</cp:coreProperties>
</file>